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3587D" w14:textId="77777777" w:rsidR="002F5B4D" w:rsidRPr="00BD5449" w:rsidRDefault="002F5B4D" w:rsidP="002F5B4D">
      <w:pPr>
        <w:pStyle w:val="Sinespaciado"/>
        <w:spacing w:before="1540" w:after="240"/>
        <w:jc w:val="center"/>
        <w:rPr>
          <w:u w:val="single"/>
        </w:rPr>
      </w:pPr>
      <w:r w:rsidRPr="00BD5449">
        <w:rPr>
          <w:noProof/>
          <w:u w:val="single"/>
        </w:rPr>
        <mc:AlternateContent>
          <mc:Choice Requires="wps">
            <w:drawing>
              <wp:anchor distT="0" distB="0" distL="114300" distR="114300" simplePos="0" relativeHeight="251659264" behindDoc="0" locked="0" layoutInCell="1" allowOverlap="1" wp14:anchorId="153D533D" wp14:editId="6CAF0E72">
                <wp:simplePos x="0" y="0"/>
                <wp:positionH relativeFrom="column">
                  <wp:posOffset>-306705</wp:posOffset>
                </wp:positionH>
                <wp:positionV relativeFrom="paragraph">
                  <wp:posOffset>-176530</wp:posOffset>
                </wp:positionV>
                <wp:extent cx="6169025" cy="9343390"/>
                <wp:effectExtent l="0" t="0" r="22225" b="10160"/>
                <wp:wrapNone/>
                <wp:docPr id="2" name="Rectángulo 2"/>
                <wp:cNvGraphicFramePr/>
                <a:graphic xmlns:a="http://schemas.openxmlformats.org/drawingml/2006/main">
                  <a:graphicData uri="http://schemas.microsoft.com/office/word/2010/wordprocessingShape">
                    <wps:wsp>
                      <wps:cNvSpPr/>
                      <wps:spPr>
                        <a:xfrm>
                          <a:off x="0" y="0"/>
                          <a:ext cx="6169025" cy="9343390"/>
                        </a:xfrm>
                        <a:prstGeom prst="rect">
                          <a:avLst/>
                        </a:prstGeom>
                        <a:solidFill>
                          <a:srgbClr val="156082">
                            <a:alpha val="20000"/>
                          </a:srgbClr>
                        </a:solidFill>
                        <a:ln w="19046" cap="flat">
                          <a:solidFill>
                            <a:srgbClr val="042433"/>
                          </a:solidFill>
                          <a:prstDash val="solid"/>
                          <a:miter/>
                        </a:ln>
                      </wps:spPr>
                      <wps:bodyPr vertOverflow="clip" horzOverflow="clip" lIns="0" tIns="0" rIns="0" bIns="0"/>
                    </wps:wsp>
                  </a:graphicData>
                </a:graphic>
                <wp14:sizeRelH relativeFrom="page">
                  <wp14:pctWidth>0</wp14:pctWidth>
                </wp14:sizeRelH>
                <wp14:sizeRelV relativeFrom="page">
                  <wp14:pctHeight>0</wp14:pctHeight>
                </wp14:sizeRelV>
              </wp:anchor>
            </w:drawing>
          </mc:Choice>
          <mc:Fallback>
            <w:pict>
              <v:rect w14:anchorId="6D4E6EB9" id="Rectángulo 2" o:spid="_x0000_s1026" style="position:absolute;margin-left:-24.15pt;margin-top:-13.9pt;width:485.75pt;height:73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" fillcolor="#156082" strokecolor="#042433" strokeweight=".52906mm">
                <v:fill opacity="13107f"/>
                <v:textbox inset="0,0,0,0"/>
              </v:rect>
            </w:pict>
          </mc:Fallback>
        </mc:AlternateContent>
      </w:r>
      <w:r w:rsidRPr="00BD5449">
        <w:rPr>
          <w:noProof/>
          <w:color w:val="156082"/>
          <w:u w:val="single"/>
        </w:rPr>
        <w:drawing>
          <wp:inline distT="0" distB="0" distL="0" distR="0" wp14:anchorId="12CA099A" wp14:editId="6BDF18DB">
            <wp:extent cx="5400040" cy="3037840"/>
            <wp:effectExtent l="0" t="0" r="0" b="0"/>
            <wp:docPr id="1" name="Imagen 1" descr="Un circuit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descr="Un circuito electrónic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r w:rsidRPr="00BD5449">
        <w:rPr>
          <w:color w:val="156082"/>
          <w:u w:val="single"/>
        </w:rPr>
        <w:t xml:space="preserve"> </w:t>
      </w:r>
      <w:r w:rsidRPr="00BD5449">
        <w:rPr>
          <w:rFonts w:ascii="Consolas" w:hAnsi="Consolas"/>
          <w:caps/>
          <w:color w:val="156082"/>
          <w:sz w:val="56"/>
          <w:szCs w:val="56"/>
          <w:u w:val="single"/>
        </w:rPr>
        <w:t>Ciberseguridad en Entornos de las Tecnologías de la Información</w:t>
      </w:r>
    </w:p>
    <w:p w14:paraId="65466FE0" w14:textId="4987F818" w:rsidR="002F5B4D" w:rsidRPr="00BD5449" w:rsidRDefault="00317923" w:rsidP="002F5B4D">
      <w:pPr>
        <w:pStyle w:val="Sinespaciado"/>
        <w:jc w:val="center"/>
        <w:rPr>
          <w:u w:val="single"/>
        </w:rPr>
      </w:pPr>
      <w:r>
        <w:rPr>
          <w:color w:val="156082"/>
          <w:sz w:val="28"/>
          <w:szCs w:val="28"/>
          <w:u w:val="single"/>
        </w:rPr>
        <w:t>Normativa de Ciberseguridad</w:t>
      </w:r>
    </w:p>
    <w:p w14:paraId="5A3ED49E" w14:textId="77777777" w:rsidR="002F5B4D" w:rsidRPr="00BD5449" w:rsidRDefault="002F5B4D" w:rsidP="002F5B4D">
      <w:pPr>
        <w:pStyle w:val="Sinespaciado"/>
        <w:spacing w:before="480"/>
        <w:jc w:val="center"/>
        <w:rPr>
          <w:u w:val="single"/>
        </w:rPr>
      </w:pPr>
      <w:r w:rsidRPr="00BD5449">
        <w:rPr>
          <w:noProof/>
          <w:u w:val="single"/>
        </w:rPr>
        <mc:AlternateContent>
          <mc:Choice Requires="wps">
            <w:drawing>
              <wp:anchor distT="0" distB="0" distL="114300" distR="114300" simplePos="0" relativeHeight="251660288" behindDoc="0" locked="0" layoutInCell="1" allowOverlap="1" wp14:anchorId="68C98770" wp14:editId="165DB386">
                <wp:simplePos x="0" y="0"/>
                <wp:positionH relativeFrom="page">
                  <wp:posOffset>1080135</wp:posOffset>
                </wp:positionH>
                <wp:positionV relativeFrom="page">
                  <wp:posOffset>9088120</wp:posOffset>
                </wp:positionV>
                <wp:extent cx="5389245" cy="613410"/>
                <wp:effectExtent l="0" t="0" r="1905" b="6985"/>
                <wp:wrapNone/>
                <wp:docPr id="3" name="Cuadro de texto 3"/>
                <wp:cNvGraphicFramePr/>
                <a:graphic xmlns:a="http://schemas.openxmlformats.org/drawingml/2006/main">
                  <a:graphicData uri="http://schemas.microsoft.com/office/word/2010/wordprocessingShape">
                    <wps:wsp>
                      <wps:cNvSpPr txBox="1"/>
                      <wps:spPr>
                        <a:xfrm>
                          <a:off x="0" y="0"/>
                          <a:ext cx="5389245" cy="583565"/>
                        </a:xfrm>
                        <a:prstGeom prst="rect">
                          <a:avLst/>
                        </a:prstGeom>
                        <a:noFill/>
                        <a:ln>
                          <a:noFill/>
                          <a:prstDash/>
                        </a:ln>
                      </wps:spPr>
                      <wps:txbx>
                        <w:txbxContent>
                          <w:p w14:paraId="2FF31941" w14:textId="07E3812B" w:rsidR="002F5B4D" w:rsidRDefault="002F5B4D" w:rsidP="002F5B4D">
                            <w:pPr>
                              <w:pStyle w:val="Sinespaciado"/>
                              <w:spacing w:after="40"/>
                              <w:jc w:val="center"/>
                            </w:pPr>
                            <w:r>
                              <w:rPr>
                                <w:caps/>
                                <w:color w:val="156082"/>
                                <w:sz w:val="28"/>
                                <w:szCs w:val="28"/>
                              </w:rPr>
                              <w:t xml:space="preserve">TEMA </w:t>
                            </w:r>
                            <w:r w:rsidR="00317923">
                              <w:rPr>
                                <w:caps/>
                                <w:color w:val="156082"/>
                                <w:sz w:val="28"/>
                                <w:szCs w:val="28"/>
                              </w:rPr>
                              <w:t>5</w:t>
                            </w:r>
                          </w:p>
                          <w:p w14:paraId="1C1C984D" w14:textId="0AA9770D" w:rsidR="002F5B4D" w:rsidRPr="00BE5742" w:rsidRDefault="002F5B4D" w:rsidP="002F5B4D">
                            <w:pPr>
                              <w:pStyle w:val="Sinespaciado"/>
                              <w:jc w:val="center"/>
                              <w:rPr>
                                <w:color w:val="2F5496" w:themeColor="accent1" w:themeShade="BF"/>
                              </w:rPr>
                            </w:pPr>
                            <w:r w:rsidRPr="00BE5742">
                              <w:rPr>
                                <w:color w:val="2F5496" w:themeColor="accent1" w:themeShade="BF"/>
                              </w:rPr>
                              <w:t xml:space="preserve"> </w:t>
                            </w:r>
                            <w:r w:rsidR="00317923" w:rsidRPr="00317923">
                              <w:rPr>
                                <w:color w:val="2F5496" w:themeColor="accent1" w:themeShade="BF"/>
                              </w:rPr>
                              <w:t>Normativa vigente de ciberseguridad de ámbito nacional e internacional.</w:t>
                            </w:r>
                          </w:p>
                          <w:p w14:paraId="100B729B" w14:textId="77777777" w:rsidR="002F5B4D" w:rsidRDefault="002F5B4D" w:rsidP="002F5B4D">
                            <w:pPr>
                              <w:pStyle w:val="Sinespaciado"/>
                              <w:jc w:val="center"/>
                            </w:pPr>
                            <w:r>
                              <w:rPr>
                                <w:color w:val="156082"/>
                              </w:rPr>
                              <w:t>Alberto Diéguez Álvarez</w:t>
                            </w:r>
                          </w:p>
                        </w:txbxContent>
                      </wps:txbx>
                      <wps:bodyPr vertOverflow="clip" horzOverflow="clip" vert="horz" wrap="square" lIns="0" tIns="0" rIns="0" bIns="0" anchor="b" anchorCtr="0" compatLnSpc="1">
                        <a:spAutoFit/>
                      </wps:bodyPr>
                    </wps:wsp>
                  </a:graphicData>
                </a:graphic>
                <wp14:sizeRelH relativeFrom="page">
                  <wp14:pctWidth>0</wp14:pctWidth>
                </wp14:sizeRelH>
                <wp14:sizeRelV relativeFrom="page">
                  <wp14:pctHeight>0</wp14:pctHeight>
                </wp14:sizeRelV>
              </wp:anchor>
            </w:drawing>
          </mc:Choice>
          <mc:Fallback>
            <w:pict>
              <v:shapetype w14:anchorId="68C98770" id="_x0000_t202" coordsize="21600,21600" o:spt="202" path="m,l,21600r21600,l21600,xe">
                <v:stroke joinstyle="miter"/>
                <v:path gradientshapeok="t" o:connecttype="rect"/>
              </v:shapetype>
              <v:shape id="Cuadro de texto 3" o:spid="_x0000_s1026" type="#_x0000_t202" style="position:absolute;left:0;text-align:left;margin-left:85.05pt;margin-top:715.6pt;width:424.35pt;height:48.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" filled="f" stroked="f">
                <v:textbox style="mso-fit-shape-to-text:t" inset="0,0,0,0">
                  <w:txbxContent>
                    <w:p w14:paraId="2FF31941" w14:textId="07E3812B" w:rsidR="002F5B4D" w:rsidRDefault="002F5B4D" w:rsidP="002F5B4D">
                      <w:pPr>
                        <w:pStyle w:val="Sinespaciado"/>
                        <w:spacing w:after="40"/>
                        <w:jc w:val="center"/>
                      </w:pPr>
                      <w:r>
                        <w:rPr>
                          <w:caps/>
                          <w:color w:val="156082"/>
                          <w:sz w:val="28"/>
                          <w:szCs w:val="28"/>
                        </w:rPr>
                        <w:t xml:space="preserve">TEMA </w:t>
                      </w:r>
                      <w:r w:rsidR="00317923">
                        <w:rPr>
                          <w:caps/>
                          <w:color w:val="156082"/>
                          <w:sz w:val="28"/>
                          <w:szCs w:val="28"/>
                        </w:rPr>
                        <w:t>5</w:t>
                      </w:r>
                    </w:p>
                    <w:p w14:paraId="1C1C984D" w14:textId="0AA9770D" w:rsidR="002F5B4D" w:rsidRPr="00BE5742" w:rsidRDefault="002F5B4D" w:rsidP="002F5B4D">
                      <w:pPr>
                        <w:pStyle w:val="Sinespaciado"/>
                        <w:jc w:val="center"/>
                        <w:rPr>
                          <w:color w:val="2F5496" w:themeColor="accent1" w:themeShade="BF"/>
                        </w:rPr>
                      </w:pPr>
                      <w:r w:rsidRPr="00BE5742">
                        <w:rPr>
                          <w:color w:val="2F5496" w:themeColor="accent1" w:themeShade="BF"/>
                        </w:rPr>
                        <w:t xml:space="preserve"> </w:t>
                      </w:r>
                      <w:r w:rsidR="00317923" w:rsidRPr="00317923">
                        <w:rPr>
                          <w:color w:val="2F5496" w:themeColor="accent1" w:themeShade="BF"/>
                        </w:rPr>
                        <w:t>Normativa vigente de ciberseguridad de ámbito nacional e internacional.</w:t>
                      </w:r>
                    </w:p>
                    <w:p w14:paraId="100B729B" w14:textId="77777777" w:rsidR="002F5B4D" w:rsidRDefault="002F5B4D" w:rsidP="002F5B4D">
                      <w:pPr>
                        <w:pStyle w:val="Sinespaciado"/>
                        <w:jc w:val="center"/>
                      </w:pPr>
                      <w:r>
                        <w:rPr>
                          <w:color w:val="156082"/>
                        </w:rPr>
                        <w:t>Alberto Diéguez Álvarez</w:t>
                      </w:r>
                    </w:p>
                  </w:txbxContent>
                </v:textbox>
                <w10:wrap anchorx="page" anchory="page"/>
              </v:shape>
            </w:pict>
          </mc:Fallback>
        </mc:AlternateContent>
      </w:r>
    </w:p>
    <w:p w14:paraId="376F8EFC" w14:textId="77777777" w:rsidR="002F5B4D" w:rsidRPr="00BD5449" w:rsidRDefault="002F5B4D" w:rsidP="002F5B4D">
      <w:pPr>
        <w:rPr>
          <w:u w:val="single"/>
        </w:rPr>
      </w:pPr>
    </w:p>
    <w:p w14:paraId="4DCD2E5D" w14:textId="77777777" w:rsidR="002F5B4D" w:rsidRPr="00BD5449" w:rsidRDefault="002F5B4D" w:rsidP="002F5B4D">
      <w:pPr>
        <w:rPr>
          <w:u w:val="single"/>
        </w:rPr>
      </w:pPr>
    </w:p>
    <w:p w14:paraId="5378974D" w14:textId="77777777" w:rsidR="002F5B4D" w:rsidRPr="00BD5449" w:rsidRDefault="002F5B4D" w:rsidP="002F5B4D">
      <w:pPr>
        <w:rPr>
          <w:u w:val="single"/>
        </w:rPr>
      </w:pPr>
    </w:p>
    <w:p w14:paraId="545145EE" w14:textId="77777777" w:rsidR="002F5B4D" w:rsidRPr="00BD5449" w:rsidRDefault="002F5B4D" w:rsidP="002F5B4D">
      <w:pPr>
        <w:rPr>
          <w:u w:val="single"/>
        </w:rPr>
      </w:pPr>
    </w:p>
    <w:p w14:paraId="4CF496F3" w14:textId="77777777" w:rsidR="002F5B4D" w:rsidRPr="00BD5449" w:rsidRDefault="002F5B4D" w:rsidP="002F5B4D">
      <w:pPr>
        <w:rPr>
          <w:u w:val="single"/>
        </w:rPr>
      </w:pPr>
    </w:p>
    <w:p w14:paraId="5E4FB9CC" w14:textId="77777777" w:rsidR="002F5B4D" w:rsidRPr="00BD5449" w:rsidRDefault="002F5B4D" w:rsidP="002F5B4D">
      <w:pPr>
        <w:rPr>
          <w:u w:val="single"/>
        </w:rPr>
      </w:pPr>
    </w:p>
    <w:p w14:paraId="3397B8ED" w14:textId="77777777" w:rsidR="002F5B4D" w:rsidRPr="00BD5449" w:rsidRDefault="002F5B4D" w:rsidP="002F5B4D">
      <w:pPr>
        <w:rPr>
          <w:u w:val="single"/>
        </w:rPr>
      </w:pPr>
    </w:p>
    <w:p w14:paraId="5E9E3290" w14:textId="77777777" w:rsidR="002F5B4D" w:rsidRPr="00BD5449" w:rsidRDefault="002F5B4D" w:rsidP="002F5B4D">
      <w:pPr>
        <w:rPr>
          <w:u w:val="single"/>
        </w:rPr>
      </w:pPr>
    </w:p>
    <w:p w14:paraId="7606AFAD" w14:textId="51ED224B" w:rsidR="002F5B4D" w:rsidRDefault="002F5B4D" w:rsidP="002F5B4D">
      <w:pPr>
        <w:rPr>
          <w:u w:val="single"/>
        </w:rPr>
      </w:pPr>
    </w:p>
    <w:sdt>
      <w:sdtPr>
        <w:id w:val="-1061177385"/>
        <w:docPartObj>
          <w:docPartGallery w:val="Table of Contents"/>
          <w:docPartUnique/>
        </w:docPartObj>
      </w:sdtPr>
      <w:sdtEndPr>
        <w:rPr>
          <w:rFonts w:ascii="Arial" w:eastAsiaTheme="minorHAnsi" w:hAnsi="Arial" w:cstheme="minorBidi"/>
          <w:b/>
          <w:bCs/>
          <w:color w:val="auto"/>
          <w:sz w:val="24"/>
          <w:szCs w:val="22"/>
          <w:lang w:eastAsia="en-US"/>
        </w:rPr>
      </w:sdtEndPr>
      <w:sdtContent>
        <w:p w14:paraId="38F0F093" w14:textId="40731096" w:rsidR="00DC59E8" w:rsidRDefault="00DC59E8">
          <w:pPr>
            <w:pStyle w:val="TtuloTDC"/>
          </w:pPr>
          <w:r>
            <w:t>Tabla de contenido</w:t>
          </w:r>
        </w:p>
        <w:p w14:paraId="1CFA9DA5" w14:textId="5F1059CF" w:rsidR="00C6621B" w:rsidRDefault="00DC59E8">
          <w:pPr>
            <w:pStyle w:val="TDC1"/>
            <w:tabs>
              <w:tab w:val="right" w:leader="dot" w:pos="8494"/>
            </w:tabs>
            <w:rPr>
              <w:rFonts w:asciiTheme="minorHAnsi" w:eastAsiaTheme="minorEastAsia" w:hAnsiTheme="minorHAnsi"/>
              <w:noProof/>
              <w:sz w:val="22"/>
              <w:lang w:eastAsia="es-ES"/>
            </w:rPr>
          </w:pPr>
          <w:r>
            <w:fldChar w:fldCharType="begin"/>
          </w:r>
          <w:r>
            <w:instrText xml:space="preserve"> TOC \o "1-3" \h \z \u </w:instrText>
          </w:r>
          <w:r>
            <w:fldChar w:fldCharType="separate"/>
          </w:r>
          <w:hyperlink w:anchor="_Toc225209480" w:history="1">
            <w:r w:rsidR="00C6621B" w:rsidRPr="005B5540">
              <w:rPr>
                <w:rStyle w:val="Hipervnculo"/>
                <w:b/>
                <w:bCs/>
                <w:noProof/>
              </w:rPr>
              <w:t>1.- Descripción de la tarea</w:t>
            </w:r>
            <w:r w:rsidR="00C6621B">
              <w:rPr>
                <w:noProof/>
                <w:webHidden/>
              </w:rPr>
              <w:tab/>
            </w:r>
            <w:r w:rsidR="00C6621B">
              <w:rPr>
                <w:noProof/>
                <w:webHidden/>
              </w:rPr>
              <w:fldChar w:fldCharType="begin"/>
            </w:r>
            <w:r w:rsidR="00C6621B">
              <w:rPr>
                <w:noProof/>
                <w:webHidden/>
              </w:rPr>
              <w:instrText xml:space="preserve"> PAGEREF _Toc225209480 \h </w:instrText>
            </w:r>
            <w:r w:rsidR="00C6621B">
              <w:rPr>
                <w:noProof/>
                <w:webHidden/>
              </w:rPr>
            </w:r>
            <w:r w:rsidR="00C6621B">
              <w:rPr>
                <w:noProof/>
                <w:webHidden/>
              </w:rPr>
              <w:fldChar w:fldCharType="separate"/>
            </w:r>
            <w:r w:rsidR="00C6621B">
              <w:rPr>
                <w:noProof/>
                <w:webHidden/>
              </w:rPr>
              <w:t>3</w:t>
            </w:r>
            <w:r w:rsidR="00C6621B">
              <w:rPr>
                <w:noProof/>
                <w:webHidden/>
              </w:rPr>
              <w:fldChar w:fldCharType="end"/>
            </w:r>
          </w:hyperlink>
        </w:p>
        <w:p w14:paraId="557E888C" w14:textId="1704A889" w:rsidR="00C6621B" w:rsidRDefault="00C6621B">
          <w:pPr>
            <w:pStyle w:val="TDC2"/>
            <w:tabs>
              <w:tab w:val="right" w:leader="dot" w:pos="8494"/>
            </w:tabs>
            <w:rPr>
              <w:rFonts w:asciiTheme="minorHAnsi" w:eastAsiaTheme="minorEastAsia" w:hAnsiTheme="minorHAnsi"/>
              <w:noProof/>
              <w:sz w:val="22"/>
              <w:lang w:eastAsia="es-ES"/>
            </w:rPr>
          </w:pPr>
          <w:hyperlink w:anchor="_Toc225209481" w:history="1">
            <w:r w:rsidRPr="005B5540">
              <w:rPr>
                <w:rStyle w:val="Hipervnculo"/>
                <w:rFonts w:ascii="Helvetica" w:hAnsi="Helvetica"/>
                <w:noProof/>
              </w:rPr>
              <w:t>Caso práctico</w:t>
            </w:r>
            <w:r>
              <w:rPr>
                <w:noProof/>
                <w:webHidden/>
              </w:rPr>
              <w:tab/>
            </w:r>
            <w:r>
              <w:rPr>
                <w:noProof/>
                <w:webHidden/>
              </w:rPr>
              <w:fldChar w:fldCharType="begin"/>
            </w:r>
            <w:r>
              <w:rPr>
                <w:noProof/>
                <w:webHidden/>
              </w:rPr>
              <w:instrText xml:space="preserve"> PAGEREF _Toc225209481 \h </w:instrText>
            </w:r>
            <w:r>
              <w:rPr>
                <w:noProof/>
                <w:webHidden/>
              </w:rPr>
            </w:r>
            <w:r>
              <w:rPr>
                <w:noProof/>
                <w:webHidden/>
              </w:rPr>
              <w:fldChar w:fldCharType="separate"/>
            </w:r>
            <w:r>
              <w:rPr>
                <w:noProof/>
                <w:webHidden/>
              </w:rPr>
              <w:t>3</w:t>
            </w:r>
            <w:r>
              <w:rPr>
                <w:noProof/>
                <w:webHidden/>
              </w:rPr>
              <w:fldChar w:fldCharType="end"/>
            </w:r>
          </w:hyperlink>
        </w:p>
        <w:p w14:paraId="7249593E" w14:textId="412187F8" w:rsidR="00C6621B" w:rsidRDefault="00C6621B">
          <w:pPr>
            <w:pStyle w:val="TDC1"/>
            <w:tabs>
              <w:tab w:val="right" w:leader="dot" w:pos="8494"/>
            </w:tabs>
            <w:rPr>
              <w:rFonts w:asciiTheme="minorHAnsi" w:eastAsiaTheme="minorEastAsia" w:hAnsiTheme="minorHAnsi"/>
              <w:noProof/>
              <w:sz w:val="22"/>
              <w:lang w:eastAsia="es-ES"/>
            </w:rPr>
          </w:pPr>
          <w:hyperlink w:anchor="_Toc225209482" w:history="1">
            <w:r w:rsidRPr="005B5540">
              <w:rPr>
                <w:rStyle w:val="Hipervnculo"/>
                <w:b/>
                <w:bCs/>
                <w:noProof/>
              </w:rPr>
              <w:t>Apartado 1: Marco Jurídico y Directiva NIS 2 (2,5 Puntos)</w:t>
            </w:r>
            <w:r>
              <w:rPr>
                <w:noProof/>
                <w:webHidden/>
              </w:rPr>
              <w:tab/>
            </w:r>
            <w:r>
              <w:rPr>
                <w:noProof/>
                <w:webHidden/>
              </w:rPr>
              <w:fldChar w:fldCharType="begin"/>
            </w:r>
            <w:r>
              <w:rPr>
                <w:noProof/>
                <w:webHidden/>
              </w:rPr>
              <w:instrText xml:space="preserve"> PAGEREF _Toc225209482 \h </w:instrText>
            </w:r>
            <w:r>
              <w:rPr>
                <w:noProof/>
                <w:webHidden/>
              </w:rPr>
            </w:r>
            <w:r>
              <w:rPr>
                <w:noProof/>
                <w:webHidden/>
              </w:rPr>
              <w:fldChar w:fldCharType="separate"/>
            </w:r>
            <w:r>
              <w:rPr>
                <w:noProof/>
                <w:webHidden/>
              </w:rPr>
              <w:t>4</w:t>
            </w:r>
            <w:r>
              <w:rPr>
                <w:noProof/>
                <w:webHidden/>
              </w:rPr>
              <w:fldChar w:fldCharType="end"/>
            </w:r>
          </w:hyperlink>
        </w:p>
        <w:p w14:paraId="02F19F6E" w14:textId="07F95F69" w:rsidR="00C6621B" w:rsidRDefault="00C6621B">
          <w:pPr>
            <w:pStyle w:val="TDC1"/>
            <w:tabs>
              <w:tab w:val="right" w:leader="dot" w:pos="8494"/>
            </w:tabs>
            <w:rPr>
              <w:rFonts w:asciiTheme="minorHAnsi" w:eastAsiaTheme="minorEastAsia" w:hAnsiTheme="minorHAnsi"/>
              <w:noProof/>
              <w:sz w:val="22"/>
              <w:lang w:eastAsia="es-ES"/>
            </w:rPr>
          </w:pPr>
          <w:hyperlink w:anchor="_Toc225209483" w:history="1">
            <w:r w:rsidRPr="005B5540">
              <w:rPr>
                <w:rStyle w:val="Hipervnculo"/>
                <w:b/>
                <w:bCs/>
                <w:noProof/>
              </w:rPr>
              <w:t>Apartado 2: Transición a ISO/IEC 27001:2022 (2,5 Puntos)</w:t>
            </w:r>
            <w:r>
              <w:rPr>
                <w:noProof/>
                <w:webHidden/>
              </w:rPr>
              <w:tab/>
            </w:r>
            <w:r>
              <w:rPr>
                <w:noProof/>
                <w:webHidden/>
              </w:rPr>
              <w:fldChar w:fldCharType="begin"/>
            </w:r>
            <w:r>
              <w:rPr>
                <w:noProof/>
                <w:webHidden/>
              </w:rPr>
              <w:instrText xml:space="preserve"> PAGEREF _Toc225209483 \h </w:instrText>
            </w:r>
            <w:r>
              <w:rPr>
                <w:noProof/>
                <w:webHidden/>
              </w:rPr>
            </w:r>
            <w:r>
              <w:rPr>
                <w:noProof/>
                <w:webHidden/>
              </w:rPr>
              <w:fldChar w:fldCharType="separate"/>
            </w:r>
            <w:r>
              <w:rPr>
                <w:noProof/>
                <w:webHidden/>
              </w:rPr>
              <w:t>5</w:t>
            </w:r>
            <w:r>
              <w:rPr>
                <w:noProof/>
                <w:webHidden/>
              </w:rPr>
              <w:fldChar w:fldCharType="end"/>
            </w:r>
          </w:hyperlink>
        </w:p>
        <w:p w14:paraId="0A7DF4D7" w14:textId="6CBC059A" w:rsidR="00C6621B" w:rsidRDefault="00C6621B">
          <w:pPr>
            <w:pStyle w:val="TDC1"/>
            <w:tabs>
              <w:tab w:val="right" w:leader="dot" w:pos="8494"/>
            </w:tabs>
            <w:rPr>
              <w:rFonts w:asciiTheme="minorHAnsi" w:eastAsiaTheme="minorEastAsia" w:hAnsiTheme="minorHAnsi"/>
              <w:noProof/>
              <w:sz w:val="22"/>
              <w:lang w:eastAsia="es-ES"/>
            </w:rPr>
          </w:pPr>
          <w:hyperlink w:anchor="_Toc225209484" w:history="1">
            <w:r w:rsidRPr="005B5540">
              <w:rPr>
                <w:rStyle w:val="Hipervnculo"/>
                <w:b/>
                <w:bCs/>
                <w:noProof/>
              </w:rPr>
              <w:t>Apartado 3: Análisis de Continuidad y Resiliencia (Directiva CER y BIA) (2,5 Puntos)</w:t>
            </w:r>
            <w:r>
              <w:rPr>
                <w:noProof/>
                <w:webHidden/>
              </w:rPr>
              <w:tab/>
            </w:r>
            <w:r>
              <w:rPr>
                <w:noProof/>
                <w:webHidden/>
              </w:rPr>
              <w:fldChar w:fldCharType="begin"/>
            </w:r>
            <w:r>
              <w:rPr>
                <w:noProof/>
                <w:webHidden/>
              </w:rPr>
              <w:instrText xml:space="preserve"> PAGEREF _Toc225209484 \h </w:instrText>
            </w:r>
            <w:r>
              <w:rPr>
                <w:noProof/>
                <w:webHidden/>
              </w:rPr>
            </w:r>
            <w:r>
              <w:rPr>
                <w:noProof/>
                <w:webHidden/>
              </w:rPr>
              <w:fldChar w:fldCharType="separate"/>
            </w:r>
            <w:r>
              <w:rPr>
                <w:noProof/>
                <w:webHidden/>
              </w:rPr>
              <w:t>6</w:t>
            </w:r>
            <w:r>
              <w:rPr>
                <w:noProof/>
                <w:webHidden/>
              </w:rPr>
              <w:fldChar w:fldCharType="end"/>
            </w:r>
          </w:hyperlink>
        </w:p>
        <w:p w14:paraId="1D26803A" w14:textId="3B740031" w:rsidR="00C6621B" w:rsidRDefault="00C6621B">
          <w:pPr>
            <w:pStyle w:val="TDC1"/>
            <w:tabs>
              <w:tab w:val="right" w:leader="dot" w:pos="8494"/>
            </w:tabs>
            <w:rPr>
              <w:rFonts w:asciiTheme="minorHAnsi" w:eastAsiaTheme="minorEastAsia" w:hAnsiTheme="minorHAnsi"/>
              <w:noProof/>
              <w:sz w:val="22"/>
              <w:lang w:eastAsia="es-ES"/>
            </w:rPr>
          </w:pPr>
          <w:hyperlink w:anchor="_Toc225209485" w:history="1">
            <w:r w:rsidRPr="005B5540">
              <w:rPr>
                <w:rStyle w:val="Hipervnculo"/>
                <w:b/>
                <w:bCs/>
                <w:noProof/>
              </w:rPr>
              <w:t>Apartado 4: Esquema Nacional de Seguridad (ENS) (2,5 Puntos)</w:t>
            </w:r>
            <w:r>
              <w:rPr>
                <w:noProof/>
                <w:webHidden/>
              </w:rPr>
              <w:tab/>
            </w:r>
            <w:r>
              <w:rPr>
                <w:noProof/>
                <w:webHidden/>
              </w:rPr>
              <w:fldChar w:fldCharType="begin"/>
            </w:r>
            <w:r>
              <w:rPr>
                <w:noProof/>
                <w:webHidden/>
              </w:rPr>
              <w:instrText xml:space="preserve"> PAGEREF _Toc225209485 \h </w:instrText>
            </w:r>
            <w:r>
              <w:rPr>
                <w:noProof/>
                <w:webHidden/>
              </w:rPr>
            </w:r>
            <w:r>
              <w:rPr>
                <w:noProof/>
                <w:webHidden/>
              </w:rPr>
              <w:fldChar w:fldCharType="separate"/>
            </w:r>
            <w:r>
              <w:rPr>
                <w:noProof/>
                <w:webHidden/>
              </w:rPr>
              <w:t>7</w:t>
            </w:r>
            <w:r>
              <w:rPr>
                <w:noProof/>
                <w:webHidden/>
              </w:rPr>
              <w:fldChar w:fldCharType="end"/>
            </w:r>
          </w:hyperlink>
        </w:p>
        <w:p w14:paraId="0E4A101F" w14:textId="6911EA4E" w:rsidR="00DC59E8" w:rsidRDefault="00DC59E8">
          <w:r>
            <w:rPr>
              <w:b/>
              <w:bCs/>
            </w:rPr>
            <w:fldChar w:fldCharType="end"/>
          </w:r>
        </w:p>
      </w:sdtContent>
    </w:sdt>
    <w:p w14:paraId="114983E5" w14:textId="4C55AA34" w:rsidR="00317923" w:rsidRDefault="00317923" w:rsidP="002F5B4D">
      <w:pPr>
        <w:rPr>
          <w:u w:val="single"/>
        </w:rPr>
      </w:pPr>
    </w:p>
    <w:p w14:paraId="0D6F67B5" w14:textId="05EA43EE" w:rsidR="00317923" w:rsidRDefault="00317923" w:rsidP="002F5B4D">
      <w:pPr>
        <w:rPr>
          <w:u w:val="single"/>
        </w:rPr>
      </w:pPr>
    </w:p>
    <w:p w14:paraId="073CA548" w14:textId="3C9D67E4" w:rsidR="00317923" w:rsidRDefault="00317923" w:rsidP="002F5B4D">
      <w:pPr>
        <w:rPr>
          <w:u w:val="single"/>
        </w:rPr>
      </w:pPr>
    </w:p>
    <w:p w14:paraId="7DA75A29" w14:textId="183AC9EA" w:rsidR="00317923" w:rsidRDefault="00317923" w:rsidP="002F5B4D">
      <w:pPr>
        <w:rPr>
          <w:u w:val="single"/>
        </w:rPr>
      </w:pPr>
    </w:p>
    <w:p w14:paraId="2260C298" w14:textId="7515F79D" w:rsidR="00317923" w:rsidRDefault="00317923" w:rsidP="002F5B4D">
      <w:pPr>
        <w:rPr>
          <w:u w:val="single"/>
        </w:rPr>
      </w:pPr>
    </w:p>
    <w:p w14:paraId="66C93D4A" w14:textId="51413871" w:rsidR="00317923" w:rsidRDefault="00317923" w:rsidP="002F5B4D">
      <w:pPr>
        <w:rPr>
          <w:u w:val="single"/>
        </w:rPr>
      </w:pPr>
    </w:p>
    <w:p w14:paraId="4E1F2ADB" w14:textId="1CBBEB4D" w:rsidR="00317923" w:rsidRDefault="00317923" w:rsidP="002F5B4D">
      <w:pPr>
        <w:rPr>
          <w:u w:val="single"/>
        </w:rPr>
      </w:pPr>
    </w:p>
    <w:p w14:paraId="703EB758" w14:textId="310CAB06" w:rsidR="00317923" w:rsidRDefault="00317923" w:rsidP="002F5B4D">
      <w:pPr>
        <w:rPr>
          <w:u w:val="single"/>
        </w:rPr>
      </w:pPr>
    </w:p>
    <w:p w14:paraId="4E09C8FD" w14:textId="68707A82" w:rsidR="00317923" w:rsidRDefault="00317923" w:rsidP="002F5B4D">
      <w:pPr>
        <w:rPr>
          <w:u w:val="single"/>
        </w:rPr>
      </w:pPr>
    </w:p>
    <w:p w14:paraId="3E18BCF2" w14:textId="56156315" w:rsidR="00317923" w:rsidRDefault="00317923" w:rsidP="002F5B4D">
      <w:pPr>
        <w:rPr>
          <w:u w:val="single"/>
        </w:rPr>
      </w:pPr>
    </w:p>
    <w:p w14:paraId="0D870E4C" w14:textId="113C4225" w:rsidR="00317923" w:rsidRDefault="00317923" w:rsidP="002F5B4D">
      <w:pPr>
        <w:rPr>
          <w:u w:val="single"/>
        </w:rPr>
      </w:pPr>
    </w:p>
    <w:p w14:paraId="4FC23253" w14:textId="68116C6C" w:rsidR="00317923" w:rsidRDefault="00317923" w:rsidP="002F5B4D">
      <w:pPr>
        <w:rPr>
          <w:u w:val="single"/>
        </w:rPr>
      </w:pPr>
    </w:p>
    <w:p w14:paraId="7F795601" w14:textId="6CE55E58" w:rsidR="00317923" w:rsidRDefault="00317923" w:rsidP="002F5B4D">
      <w:pPr>
        <w:rPr>
          <w:u w:val="single"/>
        </w:rPr>
      </w:pPr>
    </w:p>
    <w:p w14:paraId="36614B15" w14:textId="4D8A3ADF" w:rsidR="00317923" w:rsidRDefault="00317923" w:rsidP="002F5B4D">
      <w:pPr>
        <w:rPr>
          <w:u w:val="single"/>
        </w:rPr>
      </w:pPr>
    </w:p>
    <w:p w14:paraId="4B015979" w14:textId="0DD25658" w:rsidR="00317923" w:rsidRDefault="00317923" w:rsidP="002F5B4D">
      <w:pPr>
        <w:rPr>
          <w:u w:val="single"/>
        </w:rPr>
      </w:pPr>
    </w:p>
    <w:p w14:paraId="59472A36" w14:textId="1A2B34F5" w:rsidR="00317923" w:rsidRDefault="00317923" w:rsidP="002F5B4D">
      <w:pPr>
        <w:rPr>
          <w:u w:val="single"/>
        </w:rPr>
      </w:pPr>
    </w:p>
    <w:p w14:paraId="069B5E98" w14:textId="11889A8E" w:rsidR="00317923" w:rsidRDefault="00317923" w:rsidP="002F5B4D">
      <w:pPr>
        <w:rPr>
          <w:u w:val="single"/>
        </w:rPr>
      </w:pPr>
    </w:p>
    <w:p w14:paraId="409DE8F1" w14:textId="04FE379A" w:rsidR="00317923" w:rsidRDefault="00317923" w:rsidP="002F5B4D">
      <w:pPr>
        <w:rPr>
          <w:u w:val="single"/>
        </w:rPr>
      </w:pPr>
    </w:p>
    <w:p w14:paraId="27A7BE74" w14:textId="694221C2" w:rsidR="00317923" w:rsidRDefault="00317923" w:rsidP="002F5B4D">
      <w:pPr>
        <w:rPr>
          <w:u w:val="single"/>
        </w:rPr>
      </w:pPr>
    </w:p>
    <w:p w14:paraId="29160378" w14:textId="4C8FCCF6" w:rsidR="00317923" w:rsidRDefault="00317923" w:rsidP="002F5B4D">
      <w:pPr>
        <w:rPr>
          <w:u w:val="single"/>
        </w:rPr>
      </w:pPr>
    </w:p>
    <w:p w14:paraId="43B6E650" w14:textId="5AAE68F2" w:rsidR="00317923" w:rsidRDefault="00317923" w:rsidP="002F5B4D">
      <w:pPr>
        <w:rPr>
          <w:u w:val="single"/>
        </w:rPr>
      </w:pPr>
    </w:p>
    <w:p w14:paraId="6FFCFC9B" w14:textId="5773A757" w:rsidR="00317923" w:rsidRDefault="00317923" w:rsidP="002F5B4D">
      <w:pPr>
        <w:rPr>
          <w:u w:val="single"/>
        </w:rPr>
      </w:pPr>
    </w:p>
    <w:p w14:paraId="1F56DBCD" w14:textId="623AF806" w:rsidR="00317923" w:rsidRDefault="00317923" w:rsidP="002F5B4D">
      <w:pPr>
        <w:rPr>
          <w:u w:val="single"/>
        </w:rPr>
      </w:pPr>
    </w:p>
    <w:p w14:paraId="32FFE4F9" w14:textId="77777777" w:rsidR="00317923" w:rsidRPr="00317923" w:rsidRDefault="00317923" w:rsidP="00317923">
      <w:pPr>
        <w:pStyle w:val="Ttulo1"/>
        <w:jc w:val="center"/>
        <w:rPr>
          <w:b/>
          <w:bCs/>
        </w:rPr>
      </w:pPr>
      <w:bookmarkStart w:id="0" w:name="main"/>
      <w:bookmarkStart w:id="1" w:name="_Toc225209480"/>
      <w:bookmarkEnd w:id="0"/>
      <w:r w:rsidRPr="00317923">
        <w:rPr>
          <w:b/>
          <w:bCs/>
        </w:rPr>
        <w:lastRenderedPageBreak/>
        <w:t>1.- Descripción de la tarea</w:t>
      </w:r>
      <w:bookmarkEnd w:id="1"/>
    </w:p>
    <w:p w14:paraId="1E0001E5" w14:textId="77777777" w:rsidR="00317923" w:rsidRDefault="00317923" w:rsidP="00317923">
      <w:pPr>
        <w:pStyle w:val="Ttulo2"/>
        <w:shd w:val="clear" w:color="auto" w:fill="E2F7D2"/>
        <w:jc w:val="center"/>
        <w:rPr>
          <w:rFonts w:ascii="Helvetica" w:hAnsi="Helvetica"/>
          <w:color w:val="236122"/>
          <w:sz w:val="44"/>
          <w:szCs w:val="44"/>
        </w:rPr>
      </w:pPr>
      <w:bookmarkStart w:id="2" w:name="_Toc225209481"/>
      <w:r>
        <w:rPr>
          <w:rFonts w:ascii="Helvetica" w:hAnsi="Helvetica"/>
          <w:color w:val="236122"/>
          <w:sz w:val="44"/>
          <w:szCs w:val="44"/>
        </w:rPr>
        <w:t>Caso práctico</w:t>
      </w:r>
      <w:bookmarkEnd w:id="2"/>
    </w:p>
    <w:p w14:paraId="01557514" w14:textId="1B158C78" w:rsidR="00317923" w:rsidRDefault="00317923" w:rsidP="00317923">
      <w:pPr>
        <w:shd w:val="clear" w:color="auto" w:fill="E2F7D2"/>
        <w:jc w:val="center"/>
        <w:rPr>
          <w:rFonts w:ascii="Helvetica" w:hAnsi="Helvetica"/>
          <w:color w:val="236122"/>
          <w:sz w:val="22"/>
        </w:rPr>
      </w:pPr>
      <w:r w:rsidRPr="00317923">
        <w:rPr>
          <w:rFonts w:ascii="Helvetica" w:hAnsi="Helvetica"/>
          <w:color w:val="236122"/>
          <w:sz w:val="22"/>
        </w:rPr>
        <w:drawing>
          <wp:inline distT="0" distB="0" distL="0" distR="0" wp14:anchorId="24BAA885" wp14:editId="27DFB063">
            <wp:extent cx="2457793" cy="3696216"/>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57793" cy="3696216"/>
                    </a:xfrm>
                    <a:prstGeom prst="rect">
                      <a:avLst/>
                    </a:prstGeom>
                  </pic:spPr>
                </pic:pic>
              </a:graphicData>
            </a:graphic>
          </wp:inline>
        </w:drawing>
      </w:r>
    </w:p>
    <w:p w14:paraId="46792D4C" w14:textId="77777777" w:rsidR="00317923" w:rsidRDefault="00317923" w:rsidP="00317923">
      <w:pPr>
        <w:shd w:val="clear" w:color="auto" w:fill="E2F7D2"/>
        <w:jc w:val="center"/>
        <w:rPr>
          <w:rFonts w:ascii="Helvetica" w:hAnsi="Helvetica"/>
          <w:color w:val="236122"/>
          <w:sz w:val="15"/>
          <w:szCs w:val="15"/>
        </w:rPr>
      </w:pPr>
      <w:hyperlink r:id="rId10" w:tgtFrame="_blank" w:tooltip="Acceder a la web desde la cual se puede descargar la imagen (se abre en una nueva ventana)" w:history="1">
        <w:proofErr w:type="spellStart"/>
        <w:r>
          <w:rPr>
            <w:rStyle w:val="Hipervnculo"/>
            <w:rFonts w:ascii="Helvetica" w:hAnsi="Helvetica"/>
            <w:color w:val="0087FF"/>
            <w:sz w:val="15"/>
            <w:szCs w:val="15"/>
            <w:bdr w:val="none" w:sz="0" w:space="0" w:color="auto" w:frame="1"/>
          </w:rPr>
          <w:t>isftic</w:t>
        </w:r>
        <w:proofErr w:type="spellEnd"/>
      </w:hyperlink>
      <w:r>
        <w:rPr>
          <w:rFonts w:ascii="Helvetica" w:hAnsi="Helvetica"/>
          <w:color w:val="236122"/>
          <w:sz w:val="15"/>
          <w:szCs w:val="15"/>
        </w:rPr>
        <w:t>. </w:t>
      </w:r>
      <w:r>
        <w:rPr>
          <w:rStyle w:val="nfasis"/>
          <w:rFonts w:ascii="Helvetica" w:hAnsi="Helvetica"/>
          <w:color w:val="236122"/>
          <w:sz w:val="15"/>
          <w:szCs w:val="15"/>
        </w:rPr>
        <w:t>Antena de Telecomunicaciones</w:t>
      </w:r>
      <w:r>
        <w:rPr>
          <w:rFonts w:ascii="Helvetica" w:hAnsi="Helvetica"/>
          <w:color w:val="236122"/>
          <w:sz w:val="15"/>
          <w:szCs w:val="15"/>
        </w:rPr>
        <w:t> </w:t>
      </w:r>
      <w:r>
        <w:rPr>
          <w:rStyle w:val="sep"/>
          <w:rFonts w:ascii="Helvetica" w:hAnsi="Helvetica"/>
          <w:color w:val="236122"/>
          <w:sz w:val="15"/>
          <w:szCs w:val="15"/>
        </w:rPr>
        <w:t>(</w:t>
      </w:r>
      <w:hyperlink r:id="rId11" w:tgtFrame="_blank" w:tooltip="Acceder a los términos de licencia Creative Commons BY-NC-SA de la imagen Torre España (se abre en ventana nueva)" w:history="1">
        <w:r>
          <w:rPr>
            <w:rStyle w:val="Hipervnculo"/>
            <w:rFonts w:ascii="Helvetica" w:hAnsi="Helvetica"/>
            <w:color w:val="0087FF"/>
            <w:sz w:val="15"/>
            <w:szCs w:val="15"/>
            <w:bdr w:val="none" w:sz="0" w:space="0" w:color="auto" w:frame="1"/>
          </w:rPr>
          <w:t>CC BY-NC-SA</w:t>
        </w:r>
      </w:hyperlink>
      <w:r>
        <w:rPr>
          <w:rStyle w:val="sep"/>
          <w:rFonts w:ascii="Helvetica" w:hAnsi="Helvetica"/>
          <w:color w:val="236122"/>
          <w:sz w:val="15"/>
          <w:szCs w:val="15"/>
        </w:rPr>
        <w:t>)</w:t>
      </w:r>
    </w:p>
    <w:p w14:paraId="31CB9CD2" w14:textId="77777777" w:rsidR="00317923" w:rsidRDefault="00317923" w:rsidP="00317923">
      <w:pPr>
        <w:pStyle w:val="NormalWeb"/>
        <w:shd w:val="clear" w:color="auto" w:fill="E2F7D2"/>
        <w:spacing w:before="0" w:beforeAutospacing="0" w:after="240" w:afterAutospacing="0"/>
        <w:jc w:val="both"/>
        <w:rPr>
          <w:rFonts w:ascii="Helvetica" w:hAnsi="Helvetica"/>
          <w:color w:val="236122"/>
          <w:sz w:val="22"/>
          <w:szCs w:val="22"/>
        </w:rPr>
      </w:pPr>
      <w:r>
        <w:rPr>
          <w:rFonts w:ascii="Helvetica" w:hAnsi="Helvetica"/>
          <w:color w:val="236122"/>
          <w:sz w:val="22"/>
          <w:szCs w:val="22"/>
          <w:u w:val="single"/>
        </w:rPr>
        <w:t>Empresa</w:t>
      </w:r>
      <w:r>
        <w:rPr>
          <w:rFonts w:ascii="Helvetica" w:hAnsi="Helvetica"/>
          <w:color w:val="236122"/>
          <w:sz w:val="22"/>
          <w:szCs w:val="22"/>
        </w:rPr>
        <w:t>: ACME S.A. (Proveedor de Servicios de Telecomunicaciones).</w:t>
      </w:r>
    </w:p>
    <w:p w14:paraId="6B4BEBEB" w14:textId="77777777" w:rsidR="00317923" w:rsidRDefault="00317923" w:rsidP="00317923">
      <w:pPr>
        <w:pStyle w:val="NormalWeb"/>
        <w:shd w:val="clear" w:color="auto" w:fill="E2F7D2"/>
        <w:spacing w:before="0" w:beforeAutospacing="0" w:after="240" w:afterAutospacing="0"/>
        <w:jc w:val="both"/>
        <w:rPr>
          <w:rFonts w:ascii="Helvetica" w:hAnsi="Helvetica"/>
          <w:color w:val="236122"/>
          <w:sz w:val="22"/>
          <w:szCs w:val="22"/>
        </w:rPr>
      </w:pPr>
      <w:r>
        <w:rPr>
          <w:rFonts w:ascii="Helvetica" w:hAnsi="Helvetica"/>
          <w:color w:val="236122"/>
          <w:sz w:val="22"/>
          <w:szCs w:val="22"/>
          <w:u w:val="single"/>
        </w:rPr>
        <w:t>Contexto</w:t>
      </w:r>
      <w:r>
        <w:rPr>
          <w:rFonts w:ascii="Helvetica" w:hAnsi="Helvetica"/>
          <w:color w:val="236122"/>
          <w:sz w:val="22"/>
          <w:szCs w:val="22"/>
        </w:rPr>
        <w:t>: ACME tiene 300.000 clientes particulares y empresariales. Es adjudicataria de los servicios de comunicaciones de las embajadas en España y proveedor de una gran entidad bancaria internacional.</w:t>
      </w:r>
    </w:p>
    <w:p w14:paraId="5AA68916" w14:textId="77777777" w:rsidR="00317923" w:rsidRDefault="00317923" w:rsidP="00317923">
      <w:pPr>
        <w:pStyle w:val="NormalWeb"/>
        <w:shd w:val="clear" w:color="auto" w:fill="E2F7D2"/>
        <w:spacing w:before="0" w:beforeAutospacing="0" w:after="240" w:afterAutospacing="0"/>
        <w:jc w:val="both"/>
        <w:rPr>
          <w:rFonts w:ascii="Helvetica" w:hAnsi="Helvetica"/>
          <w:color w:val="236122"/>
          <w:sz w:val="22"/>
          <w:szCs w:val="22"/>
        </w:rPr>
      </w:pPr>
      <w:r>
        <w:rPr>
          <w:rFonts w:ascii="Helvetica" w:hAnsi="Helvetica"/>
          <w:color w:val="236122"/>
          <w:sz w:val="22"/>
          <w:szCs w:val="22"/>
          <w:u w:val="single"/>
        </w:rPr>
        <w:t>Sede</w:t>
      </w:r>
      <w:r>
        <w:rPr>
          <w:rFonts w:ascii="Helvetica" w:hAnsi="Helvetica"/>
          <w:color w:val="236122"/>
          <w:sz w:val="22"/>
          <w:szCs w:val="22"/>
        </w:rPr>
        <w:t>: Oficinas inteligentes inauguradas en 2020 con alta eficiencia energética y zonas de acceso público (parques).</w:t>
      </w:r>
    </w:p>
    <w:p w14:paraId="41E5EE6E" w14:textId="77777777" w:rsidR="00317923" w:rsidRDefault="00317923" w:rsidP="00317923">
      <w:pPr>
        <w:pStyle w:val="NormalWeb"/>
        <w:shd w:val="clear" w:color="auto" w:fill="E2F7D2"/>
        <w:spacing w:before="0" w:beforeAutospacing="0" w:after="240" w:afterAutospacing="0"/>
        <w:jc w:val="both"/>
        <w:rPr>
          <w:rFonts w:ascii="Helvetica" w:hAnsi="Helvetica"/>
          <w:color w:val="236122"/>
          <w:sz w:val="22"/>
          <w:szCs w:val="22"/>
        </w:rPr>
      </w:pPr>
      <w:r>
        <w:rPr>
          <w:rFonts w:ascii="Helvetica" w:hAnsi="Helvetica"/>
          <w:color w:val="236122"/>
          <w:sz w:val="22"/>
          <w:szCs w:val="22"/>
          <w:u w:val="single"/>
        </w:rPr>
        <w:t>Datos económicos para el análisis de impacto</w:t>
      </w:r>
      <w:r>
        <w:rPr>
          <w:rFonts w:ascii="Helvetica" w:hAnsi="Helvetica"/>
          <w:color w:val="236122"/>
          <w:sz w:val="22"/>
          <w:szCs w:val="22"/>
        </w:rPr>
        <w:t>:</w:t>
      </w:r>
    </w:p>
    <w:p w14:paraId="2CF8B8D8" w14:textId="77777777" w:rsidR="00317923" w:rsidRDefault="00317923" w:rsidP="00317923">
      <w:pPr>
        <w:numPr>
          <w:ilvl w:val="0"/>
          <w:numId w:val="12"/>
        </w:numPr>
        <w:shd w:val="clear" w:color="auto" w:fill="E2F7D2"/>
        <w:spacing w:before="100" w:beforeAutospacing="1" w:after="100" w:afterAutospacing="1" w:line="240" w:lineRule="auto"/>
        <w:jc w:val="both"/>
        <w:rPr>
          <w:rFonts w:ascii="Helvetica" w:hAnsi="Helvetica"/>
          <w:color w:val="236122"/>
          <w:sz w:val="22"/>
        </w:rPr>
      </w:pPr>
      <w:r>
        <w:rPr>
          <w:rFonts w:ascii="Helvetica" w:hAnsi="Helvetica"/>
          <w:color w:val="236122"/>
          <w:sz w:val="22"/>
        </w:rPr>
        <w:t>SLA (Acuerdo de Nivel de Servicio) Clientes Empresa: Garantía del 99%. Compensaciones a partir de los 30 minutos de caída.</w:t>
      </w:r>
    </w:p>
    <w:p w14:paraId="5CD809DD" w14:textId="77777777" w:rsidR="00317923" w:rsidRDefault="00317923" w:rsidP="00317923">
      <w:pPr>
        <w:numPr>
          <w:ilvl w:val="0"/>
          <w:numId w:val="12"/>
        </w:numPr>
        <w:shd w:val="clear" w:color="auto" w:fill="E2F7D2"/>
        <w:spacing w:before="100" w:beforeAutospacing="1" w:after="100" w:afterAutospacing="1" w:line="240" w:lineRule="auto"/>
        <w:jc w:val="both"/>
        <w:rPr>
          <w:rFonts w:ascii="Helvetica" w:hAnsi="Helvetica"/>
          <w:color w:val="236122"/>
          <w:sz w:val="22"/>
        </w:rPr>
      </w:pPr>
      <w:r>
        <w:rPr>
          <w:rFonts w:ascii="Helvetica" w:hAnsi="Helvetica"/>
          <w:color w:val="236122"/>
          <w:sz w:val="22"/>
        </w:rPr>
        <w:t>Coste por interrupción: A partir de la primera hora de caída completa del servicio, las compensaciones ascienden a 500.000 € por cada hora adicional.</w:t>
      </w:r>
    </w:p>
    <w:p w14:paraId="66FF437E" w14:textId="77777777" w:rsidR="00317923" w:rsidRDefault="00317923" w:rsidP="00317923">
      <w:pPr>
        <w:numPr>
          <w:ilvl w:val="0"/>
          <w:numId w:val="12"/>
        </w:numPr>
        <w:shd w:val="clear" w:color="auto" w:fill="E2F7D2"/>
        <w:spacing w:before="100" w:beforeAutospacing="1" w:after="100" w:afterAutospacing="1" w:line="240" w:lineRule="auto"/>
        <w:jc w:val="both"/>
        <w:rPr>
          <w:rFonts w:ascii="Helvetica" w:hAnsi="Helvetica"/>
          <w:color w:val="236122"/>
          <w:sz w:val="22"/>
        </w:rPr>
      </w:pPr>
      <w:r>
        <w:rPr>
          <w:rFonts w:ascii="Helvetica" w:hAnsi="Helvetica"/>
          <w:color w:val="236122"/>
          <w:sz w:val="22"/>
        </w:rPr>
        <w:t>Impacto en imagen: Se estima una pérdida fija de 200.000 € por incidente (pérdida de clientes y nuevas altas) independientemente de la duración, si el incidente se hace público.</w:t>
      </w:r>
    </w:p>
    <w:p w14:paraId="69CD1B4D" w14:textId="48D89B2F" w:rsidR="00317923" w:rsidRDefault="00317923" w:rsidP="00317923">
      <w:pPr>
        <w:numPr>
          <w:ilvl w:val="0"/>
          <w:numId w:val="12"/>
        </w:numPr>
        <w:shd w:val="clear" w:color="auto" w:fill="E2F7D2"/>
        <w:spacing w:before="100" w:beforeAutospacing="1" w:after="100" w:afterAutospacing="1" w:line="240" w:lineRule="auto"/>
        <w:jc w:val="both"/>
        <w:rPr>
          <w:rFonts w:ascii="Helvetica" w:hAnsi="Helvetica"/>
          <w:color w:val="236122"/>
          <w:sz w:val="22"/>
        </w:rPr>
      </w:pPr>
      <w:r>
        <w:rPr>
          <w:rFonts w:ascii="Helvetica" w:hAnsi="Helvetica"/>
          <w:color w:val="236122"/>
          <w:sz w:val="22"/>
        </w:rPr>
        <w:t>Apetito de riesgo: La organización establece que bajo ningún concepto puede asumir pérdidas superiores a 1,5 millones de euros en un solo incidente.</w:t>
      </w:r>
    </w:p>
    <w:p w14:paraId="38C62381" w14:textId="244CE601" w:rsidR="00317923" w:rsidRDefault="00317923" w:rsidP="00317923"/>
    <w:p w14:paraId="672DD858" w14:textId="77777777" w:rsidR="00317923" w:rsidRDefault="00317923" w:rsidP="00317923"/>
    <w:p w14:paraId="7C9D53B4" w14:textId="1DA6531E" w:rsidR="00317923" w:rsidRDefault="00317923" w:rsidP="00317923">
      <w:pPr>
        <w:pStyle w:val="Ttulo"/>
        <w:jc w:val="center"/>
        <w:rPr>
          <w:b/>
          <w:bCs/>
        </w:rPr>
      </w:pPr>
      <w:r w:rsidRPr="00317923">
        <w:rPr>
          <w:b/>
          <w:bCs/>
        </w:rPr>
        <w:lastRenderedPageBreak/>
        <w:t>¿Qué te pedimos que hagas?</w:t>
      </w:r>
    </w:p>
    <w:p w14:paraId="10CF75A0" w14:textId="77777777" w:rsidR="00317923" w:rsidRPr="00317923" w:rsidRDefault="00317923" w:rsidP="00317923"/>
    <w:p w14:paraId="3AA10E76" w14:textId="77777777" w:rsidR="00317923" w:rsidRDefault="00317923" w:rsidP="00317923">
      <w:r>
        <w:t>Como responsable de seguridad de ACME S.A., debes actualizar el plan de cumplimiento normativo para el año en curso, dado que han entrado en vigor nuevas directivas europeas y se han actualizado los estándares internacionales.</w:t>
      </w:r>
    </w:p>
    <w:p w14:paraId="4FB49843" w14:textId="6FF256FA" w:rsidR="00317923" w:rsidRDefault="00317923" w:rsidP="00FA5D9B">
      <w:pPr>
        <w:pStyle w:val="Ttulo1"/>
        <w:rPr>
          <w:rStyle w:val="Textoennegrita"/>
        </w:rPr>
      </w:pPr>
      <w:bookmarkStart w:id="3" w:name="_Toc225209482"/>
      <w:r w:rsidRPr="00FA5D9B">
        <w:rPr>
          <w:rStyle w:val="Textoennegrita"/>
        </w:rPr>
        <w:t>Apartado 1: Marco Jurídico y Directiva NIS 2 (2,5 Puntos)</w:t>
      </w:r>
      <w:bookmarkEnd w:id="3"/>
    </w:p>
    <w:p w14:paraId="3EFF9CAC" w14:textId="77777777" w:rsidR="00DC59E8" w:rsidRPr="00DC59E8" w:rsidRDefault="00DC59E8" w:rsidP="00DC59E8"/>
    <w:p w14:paraId="5E42228C" w14:textId="77777777" w:rsidR="00317923" w:rsidRDefault="00317923" w:rsidP="006C66E6">
      <w:r>
        <w:t>ACME S.A. opera en el sector de las infraestructuras digitales y telecomunicaciones, y además provee servicios a la Administración Pública.</w:t>
      </w:r>
    </w:p>
    <w:p w14:paraId="60FB83EC" w14:textId="77777777" w:rsidR="00DD1BBD" w:rsidRDefault="00317923" w:rsidP="006C66E6">
      <w:pPr>
        <w:rPr>
          <w:b/>
          <w:bCs/>
        </w:rPr>
      </w:pPr>
      <w:r w:rsidRPr="006C66E6">
        <w:rPr>
          <w:b/>
          <w:bCs/>
        </w:rPr>
        <w:t>1. </w:t>
      </w:r>
      <w:r w:rsidRPr="006C66E6">
        <w:rPr>
          <w:b/>
          <w:bCs/>
          <w:u w:val="single"/>
        </w:rPr>
        <w:t>Identificación normativa</w:t>
      </w:r>
      <w:r w:rsidRPr="006C66E6">
        <w:rPr>
          <w:b/>
          <w:bCs/>
        </w:rPr>
        <w:t>: Enumera las 4 leyes o directivas principales (nacionales o europeas) que aplican obligatoriamente a ACME S.A. en materia de seguridad física y lógica.</w:t>
      </w:r>
    </w:p>
    <w:p w14:paraId="36692A6B" w14:textId="377C9A65" w:rsidR="00DD1BBD" w:rsidRDefault="00DD1BBD" w:rsidP="00DD1BBD">
      <w:pPr>
        <w:pStyle w:val="Prrafodelista"/>
        <w:numPr>
          <w:ilvl w:val="0"/>
          <w:numId w:val="15"/>
        </w:numPr>
      </w:pPr>
      <w:r w:rsidRPr="00DD1BBD">
        <w:rPr>
          <w:u w:val="single"/>
        </w:rPr>
        <w:t>Directiva (UE) 2022/2555 (NIS2),</w:t>
      </w:r>
      <w:r>
        <w:t xml:space="preserve"> es una normativa europea que busca garantizar un nivel común de ciberseguridad en la UE.</w:t>
      </w:r>
    </w:p>
    <w:p w14:paraId="423BF640" w14:textId="77777777" w:rsidR="00DC59E8" w:rsidRDefault="00DC59E8" w:rsidP="00DC59E8">
      <w:pPr>
        <w:pStyle w:val="Prrafodelista"/>
      </w:pPr>
    </w:p>
    <w:p w14:paraId="5FE486F2" w14:textId="7F3576BF" w:rsidR="00FD36FB" w:rsidRDefault="001A73FD" w:rsidP="00FD36FB">
      <w:pPr>
        <w:pStyle w:val="Prrafodelista"/>
        <w:numPr>
          <w:ilvl w:val="0"/>
          <w:numId w:val="15"/>
        </w:numPr>
      </w:pPr>
      <w:r w:rsidRPr="00FD36FB">
        <w:rPr>
          <w:u w:val="single"/>
        </w:rPr>
        <w:t>ENS (Esquema Nacional de Seguridad).</w:t>
      </w:r>
      <w:r>
        <w:t xml:space="preserve"> Al prestar servicios a la administración pública debe cumplir el ENS.</w:t>
      </w:r>
    </w:p>
    <w:p w14:paraId="411977D2" w14:textId="77777777" w:rsidR="00DC59E8" w:rsidRDefault="00DC59E8" w:rsidP="00DC59E8">
      <w:pPr>
        <w:pStyle w:val="Prrafodelista"/>
      </w:pPr>
    </w:p>
    <w:p w14:paraId="717863C5" w14:textId="091685A4" w:rsidR="00DD1BBD" w:rsidRDefault="001A73FD" w:rsidP="00FD36FB">
      <w:pPr>
        <w:pStyle w:val="Prrafodelista"/>
        <w:numPr>
          <w:ilvl w:val="0"/>
          <w:numId w:val="15"/>
        </w:numPr>
      </w:pPr>
      <w:r w:rsidRPr="00FD36FB">
        <w:rPr>
          <w:u w:val="single"/>
        </w:rPr>
        <w:t>Directiva CER</w:t>
      </w:r>
      <w:r>
        <w:t xml:space="preserve"> (sustituye a la Directiva de Infraestructuras Críticas 2008)</w:t>
      </w:r>
      <w:r w:rsidR="00FD36FB">
        <w:t xml:space="preserve"> </w:t>
      </w:r>
      <w:r w:rsidRPr="00FD36FB">
        <w:t>la Directiva CER se ocupa</w:t>
      </w:r>
      <w:r w:rsidR="00FD36FB">
        <w:t xml:space="preserve"> </w:t>
      </w:r>
      <w:r w:rsidRPr="00FD36FB">
        <w:t>de la seguridad física y la resiliencia ante amenazas no cibernéticas (desastres</w:t>
      </w:r>
      <w:r w:rsidR="00FD36FB">
        <w:t xml:space="preserve"> </w:t>
      </w:r>
      <w:r w:rsidRPr="00FD36FB">
        <w:t>naturales, terrorismo físico, sabotaje).</w:t>
      </w:r>
    </w:p>
    <w:p w14:paraId="7BD85BB7" w14:textId="77777777" w:rsidR="00DC59E8" w:rsidRDefault="00DC59E8" w:rsidP="00DC59E8">
      <w:pPr>
        <w:pStyle w:val="Prrafodelista"/>
      </w:pPr>
    </w:p>
    <w:p w14:paraId="40118998" w14:textId="77777777" w:rsidR="00DC59E8" w:rsidRDefault="00DC59E8" w:rsidP="00DC59E8">
      <w:pPr>
        <w:pStyle w:val="Prrafodelista"/>
      </w:pPr>
    </w:p>
    <w:p w14:paraId="44ACDA20" w14:textId="6F2A4308" w:rsidR="00FD36FB" w:rsidRDefault="00FD36FB" w:rsidP="00FD36FB">
      <w:pPr>
        <w:pStyle w:val="Prrafodelista"/>
        <w:numPr>
          <w:ilvl w:val="0"/>
          <w:numId w:val="15"/>
        </w:numPr>
      </w:pPr>
      <w:r w:rsidRPr="00FD36FB">
        <w:rPr>
          <w:u w:val="single"/>
        </w:rPr>
        <w:t>RGPD (Reglamento General de Protección de Datos).</w:t>
      </w:r>
      <w:r>
        <w:t xml:space="preserve"> Debe adecuar el tratamiento de datos a la exigencia del RGPD.</w:t>
      </w:r>
    </w:p>
    <w:p w14:paraId="435A6DDC" w14:textId="77777777" w:rsidR="00DC59E8" w:rsidRPr="00FD36FB" w:rsidRDefault="00DC59E8" w:rsidP="00DC59E8">
      <w:pPr>
        <w:pStyle w:val="Prrafodelista"/>
      </w:pPr>
    </w:p>
    <w:p w14:paraId="303DCBB3" w14:textId="6C472C00" w:rsidR="00317923" w:rsidRDefault="00317923" w:rsidP="006C66E6">
      <w:pPr>
        <w:rPr>
          <w:b/>
          <w:bCs/>
        </w:rPr>
      </w:pPr>
      <w:r w:rsidRPr="006C66E6">
        <w:rPr>
          <w:b/>
          <w:bCs/>
        </w:rPr>
        <w:t>2. </w:t>
      </w:r>
      <w:r w:rsidRPr="006C66E6">
        <w:rPr>
          <w:b/>
          <w:bCs/>
          <w:u w:val="single"/>
        </w:rPr>
        <w:t>Clasificación NIS 2</w:t>
      </w:r>
      <w:r w:rsidRPr="006C66E6">
        <w:rPr>
          <w:b/>
          <w:bCs/>
        </w:rPr>
        <w:t>: Según la nueva Directiva (UE) 2022/2555 (NIS 2), ¿ACME S.A. se clasificaría como una Entidad Esencial o una Entidad Importante? Justifica tu respuesta basándote en los sectores afectados descritos en la adenda.</w:t>
      </w:r>
    </w:p>
    <w:p w14:paraId="016FF3DA" w14:textId="116CA6F0" w:rsidR="00FD36FB" w:rsidRDefault="00FD36FB" w:rsidP="006C66E6">
      <w:pPr>
        <w:rPr>
          <w:u w:val="single"/>
        </w:rPr>
      </w:pPr>
      <w:r>
        <w:t xml:space="preserve">Se clasifica como una </w:t>
      </w:r>
      <w:r w:rsidRPr="00FD36FB">
        <w:rPr>
          <w:u w:val="single"/>
        </w:rPr>
        <w:t>Entidad Esencial.</w:t>
      </w:r>
    </w:p>
    <w:p w14:paraId="4E96F254" w14:textId="45248A55" w:rsidR="00FD36FB" w:rsidRPr="00FD36FB" w:rsidRDefault="00FD36FB" w:rsidP="00FD36FB">
      <w:r>
        <w:t xml:space="preserve">Dado que opera en una infraestructura digital crítica, presta servicios a la banca y a la administración pública, tiene gran impacto en la sociedad. Es decir, según la NIS2 estás serían las Entidades Esenciales: </w:t>
      </w:r>
      <w:r>
        <w:t>Energía, transporte, banca, salud, agua,</w:t>
      </w:r>
      <w:r>
        <w:t xml:space="preserve"> </w:t>
      </w:r>
      <w:r>
        <w:t>administración pública, espacio.</w:t>
      </w:r>
    </w:p>
    <w:p w14:paraId="4B1646D4" w14:textId="77777777" w:rsidR="00FD36FB" w:rsidRPr="006C66E6" w:rsidRDefault="00FD36FB" w:rsidP="006C66E6">
      <w:pPr>
        <w:rPr>
          <w:b/>
          <w:bCs/>
        </w:rPr>
      </w:pPr>
    </w:p>
    <w:p w14:paraId="4DBC59BC" w14:textId="129C563E" w:rsidR="00317923" w:rsidRDefault="00317923" w:rsidP="006C66E6">
      <w:pPr>
        <w:rPr>
          <w:b/>
          <w:bCs/>
        </w:rPr>
      </w:pPr>
      <w:r w:rsidRPr="006C66E6">
        <w:rPr>
          <w:b/>
          <w:bCs/>
        </w:rPr>
        <w:lastRenderedPageBreak/>
        <w:t>3. </w:t>
      </w:r>
      <w:r w:rsidRPr="006C66E6">
        <w:rPr>
          <w:b/>
          <w:bCs/>
          <w:u w:val="single"/>
        </w:rPr>
        <w:t>Responsabilidad directiva</w:t>
      </w:r>
      <w:r w:rsidRPr="006C66E6">
        <w:rPr>
          <w:b/>
          <w:bCs/>
        </w:rPr>
        <w:t>: El CEO de ACME te pregunta qué le podría pasar a él personalmente si ignora las medidas de ciberseguridad bajo la nueva directiva NIS 2. Explícale brevemente las consecuencias para la dirección.</w:t>
      </w:r>
    </w:p>
    <w:p w14:paraId="12A541D9" w14:textId="68DBD395" w:rsidR="001C61FE" w:rsidRDefault="001C61FE" w:rsidP="006C66E6">
      <w:pPr>
        <w:rPr>
          <w:b/>
          <w:bCs/>
        </w:rPr>
      </w:pPr>
    </w:p>
    <w:p w14:paraId="5450EC58" w14:textId="7BC2C4B9" w:rsidR="001C61FE" w:rsidRPr="001C61FE" w:rsidRDefault="001C61FE" w:rsidP="006C66E6">
      <w:r>
        <w:t>Actualmente la NIS2 introduce responsabilidades directas a la alta dirección.</w:t>
      </w:r>
      <w:r w:rsidR="006B5EAD">
        <w:t xml:space="preserve"> Es decir, los directivos pueden ser personalmente responsables si no aseguran el cumplimiento de las medidas de ciberseguridad, llegando incluso a inhabilitación temporal para casos graves.</w:t>
      </w:r>
    </w:p>
    <w:p w14:paraId="4DCB549E" w14:textId="1162BBC3" w:rsidR="00317923" w:rsidRDefault="00317923" w:rsidP="00FA5D9B">
      <w:pPr>
        <w:pStyle w:val="Ttulo1"/>
        <w:rPr>
          <w:rStyle w:val="Textoennegrita"/>
        </w:rPr>
      </w:pPr>
      <w:bookmarkStart w:id="4" w:name="_Toc225209483"/>
      <w:r w:rsidRPr="00FA5D9B">
        <w:rPr>
          <w:rStyle w:val="Textoennegrita"/>
        </w:rPr>
        <w:t>Apartado 2: Transición a ISO/IEC 27001:2022 (2,5 Puntos)</w:t>
      </w:r>
      <w:bookmarkEnd w:id="4"/>
    </w:p>
    <w:p w14:paraId="13C9D865" w14:textId="77777777" w:rsidR="00DC59E8" w:rsidRPr="00DC59E8" w:rsidRDefault="00DC59E8" w:rsidP="00DC59E8"/>
    <w:p w14:paraId="0C7A0AA4" w14:textId="77777777" w:rsidR="00317923" w:rsidRDefault="00317923" w:rsidP="006C66E6">
      <w:r>
        <w:t>El cliente bancario de ACME exige que la certificación de seguridad se actualice a la versión ISO/IEC 27001:2022.</w:t>
      </w:r>
    </w:p>
    <w:p w14:paraId="40F6F5DE" w14:textId="702C816C" w:rsidR="00317923" w:rsidRDefault="00317923" w:rsidP="006C66E6">
      <w:pPr>
        <w:rPr>
          <w:b/>
          <w:bCs/>
        </w:rPr>
      </w:pPr>
      <w:r w:rsidRPr="006C66E6">
        <w:rPr>
          <w:b/>
          <w:bCs/>
        </w:rPr>
        <w:t>1. </w:t>
      </w:r>
      <w:r w:rsidRPr="006C66E6">
        <w:rPr>
          <w:b/>
          <w:bCs/>
          <w:u w:val="single"/>
        </w:rPr>
        <w:t>Nueva estructura</w:t>
      </w:r>
      <w:r w:rsidRPr="006C66E6">
        <w:rPr>
          <w:b/>
          <w:bCs/>
        </w:rPr>
        <w:t>: Explica brevemente cómo ha cambiado la estructura de los controles del Anexo A (comparando la versión 2013 con la 2022). ¿Cuáles son los 4 nuevos "Temas" en los que se agrupan los controles?</w:t>
      </w:r>
    </w:p>
    <w:p w14:paraId="766DF14F" w14:textId="77777777" w:rsidR="00744C0E" w:rsidRPr="006C66E6" w:rsidRDefault="00744C0E" w:rsidP="006C66E6">
      <w:pPr>
        <w:rPr>
          <w:b/>
          <w:bCs/>
        </w:rPr>
      </w:pPr>
    </w:p>
    <w:p w14:paraId="72CB6113" w14:textId="1CA1F4A7" w:rsidR="00744C0E" w:rsidRDefault="00744C0E" w:rsidP="006C66E6">
      <w:r>
        <w:t>Los 4 nuevos temas de controles son:</w:t>
      </w:r>
    </w:p>
    <w:p w14:paraId="51BB21F0" w14:textId="1BAAD216" w:rsidR="00744C0E" w:rsidRDefault="00744C0E" w:rsidP="00744C0E">
      <w:pPr>
        <w:pStyle w:val="Prrafodelista"/>
        <w:numPr>
          <w:ilvl w:val="0"/>
          <w:numId w:val="20"/>
        </w:numPr>
      </w:pPr>
      <w:r w:rsidRPr="00744C0E">
        <w:rPr>
          <w:u w:val="single"/>
        </w:rPr>
        <w:t>Organizacionales</w:t>
      </w:r>
      <w:r>
        <w:t>: 37 controles (políticas, roles, inteligencia de amenazas...).</w:t>
      </w:r>
    </w:p>
    <w:p w14:paraId="1311D1DA" w14:textId="6787A50A" w:rsidR="00744C0E" w:rsidRDefault="00744C0E" w:rsidP="00744C0E">
      <w:pPr>
        <w:pStyle w:val="Prrafodelista"/>
        <w:numPr>
          <w:ilvl w:val="0"/>
          <w:numId w:val="20"/>
        </w:numPr>
      </w:pPr>
      <w:r w:rsidRPr="00744C0E">
        <w:rPr>
          <w:u w:val="single"/>
        </w:rPr>
        <w:t>Personas</w:t>
      </w:r>
      <w:r>
        <w:t>: 8 controles (trabajo remoto, concienciación, confidencialidad...).</w:t>
      </w:r>
    </w:p>
    <w:p w14:paraId="2DAC4D9F" w14:textId="060FFFFF" w:rsidR="00744C0E" w:rsidRDefault="00744C0E" w:rsidP="00744C0E">
      <w:pPr>
        <w:pStyle w:val="Prrafodelista"/>
        <w:numPr>
          <w:ilvl w:val="0"/>
          <w:numId w:val="20"/>
        </w:numPr>
      </w:pPr>
      <w:r w:rsidRPr="00744C0E">
        <w:rPr>
          <w:u w:val="single"/>
        </w:rPr>
        <w:t>Físicos</w:t>
      </w:r>
      <w:r>
        <w:t>: 14 controles (seguridad de oficinas, mantenimiento, monitoreo...).</w:t>
      </w:r>
    </w:p>
    <w:p w14:paraId="6EF0972D" w14:textId="006DF610" w:rsidR="00744C0E" w:rsidRDefault="00744C0E" w:rsidP="00744C0E">
      <w:pPr>
        <w:pStyle w:val="Prrafodelista"/>
        <w:numPr>
          <w:ilvl w:val="0"/>
          <w:numId w:val="20"/>
        </w:numPr>
      </w:pPr>
      <w:r w:rsidRPr="00744C0E">
        <w:rPr>
          <w:u w:val="single"/>
        </w:rPr>
        <w:t>Tecnológicos</w:t>
      </w:r>
      <w:r>
        <w:t>: 34 controles (autenticación, malware, redes, cifrado...).</w:t>
      </w:r>
    </w:p>
    <w:p w14:paraId="638F675A" w14:textId="77777777" w:rsidR="00744C0E" w:rsidRPr="00744C0E" w:rsidRDefault="00744C0E" w:rsidP="006C66E6"/>
    <w:p w14:paraId="5D4319A4" w14:textId="4EAA354B" w:rsidR="00317923" w:rsidRPr="006C66E6" w:rsidRDefault="00317923" w:rsidP="006C66E6">
      <w:pPr>
        <w:rPr>
          <w:b/>
          <w:bCs/>
        </w:rPr>
      </w:pPr>
      <w:r w:rsidRPr="006C66E6">
        <w:rPr>
          <w:b/>
          <w:bCs/>
        </w:rPr>
        <w:t>2. </w:t>
      </w:r>
      <w:r w:rsidRPr="006C66E6">
        <w:rPr>
          <w:b/>
          <w:bCs/>
          <w:u w:val="single"/>
        </w:rPr>
        <w:t>Selección de controles nuevos</w:t>
      </w:r>
      <w:r w:rsidRPr="006C66E6">
        <w:rPr>
          <w:b/>
          <w:bCs/>
        </w:rPr>
        <w:t>: De los 11 nuevos controles introducidos en la versión 2022, selecciona DOS que sean críticos para ACME S.A. y justifica su elección basándote en el caso práctico (ej. su actividad internacional, el uso de servicios en la nube, etc.).</w:t>
      </w:r>
    </w:p>
    <w:p w14:paraId="723B9A2B" w14:textId="54BA4DAC" w:rsidR="00317923" w:rsidRDefault="00317923" w:rsidP="006C66E6">
      <w:pPr>
        <w:rPr>
          <w:b/>
          <w:bCs/>
        </w:rPr>
      </w:pPr>
      <w:r w:rsidRPr="006C66E6">
        <w:rPr>
          <w:b/>
          <w:bCs/>
        </w:rPr>
        <w:t>Nota: Debes indicar el nombre del control y por qué aplica al caso.</w:t>
      </w:r>
    </w:p>
    <w:p w14:paraId="0A42ACE2" w14:textId="3AEF1512" w:rsidR="00D11FD1" w:rsidRDefault="00D11FD1" w:rsidP="006C66E6">
      <w:pPr>
        <w:rPr>
          <w:b/>
          <w:bCs/>
        </w:rPr>
      </w:pPr>
    </w:p>
    <w:p w14:paraId="01082B82" w14:textId="76F4149F" w:rsidR="00D11FD1" w:rsidRDefault="00D11FD1" w:rsidP="006C66E6">
      <w:r>
        <w:t>Entre los 11 nuevos controles, me quedaría con:</w:t>
      </w:r>
    </w:p>
    <w:p w14:paraId="0CC818F1" w14:textId="6D50A96E" w:rsidR="00D11FD1" w:rsidRDefault="00D11FD1" w:rsidP="00D11FD1">
      <w:pPr>
        <w:pStyle w:val="Prrafodelista"/>
        <w:numPr>
          <w:ilvl w:val="0"/>
          <w:numId w:val="21"/>
        </w:numPr>
      </w:pPr>
      <w:r w:rsidRPr="00D11FD1">
        <w:rPr>
          <w:u w:val="single"/>
        </w:rPr>
        <w:t>Inteligencia de amenazas:</w:t>
      </w:r>
      <w:r>
        <w:t xml:space="preserve"> Para poder identificar y anticiparnos, dado que trabajamos con entidades de alto valor, se necesita una buena protección de amenazas.</w:t>
      </w:r>
    </w:p>
    <w:p w14:paraId="2A3F73C5" w14:textId="59A6FD21" w:rsidR="00D11FD1" w:rsidRPr="00DC59E8" w:rsidRDefault="00D11FD1" w:rsidP="006C66E6">
      <w:pPr>
        <w:pStyle w:val="Prrafodelista"/>
        <w:numPr>
          <w:ilvl w:val="0"/>
          <w:numId w:val="21"/>
        </w:numPr>
        <w:rPr>
          <w:u w:val="single"/>
        </w:rPr>
      </w:pPr>
      <w:r w:rsidRPr="00D11FD1">
        <w:rPr>
          <w:u w:val="single"/>
        </w:rPr>
        <w:t>Seguridad en la nube:</w:t>
      </w:r>
      <w:r w:rsidR="00B04FAC">
        <w:rPr>
          <w:u w:val="single"/>
        </w:rPr>
        <w:t xml:space="preserve"> </w:t>
      </w:r>
      <w:r w:rsidR="00B04FAC">
        <w:t xml:space="preserve"> Al prestar servicios de comunicaciones se debe proteger los servicios y los datos almacenados en la nube.</w:t>
      </w:r>
    </w:p>
    <w:p w14:paraId="73964B8B" w14:textId="68192DF8" w:rsidR="00317923" w:rsidRDefault="00317923" w:rsidP="00FA5D9B">
      <w:pPr>
        <w:pStyle w:val="Ttulo1"/>
        <w:rPr>
          <w:rStyle w:val="Textoennegrita"/>
        </w:rPr>
      </w:pPr>
      <w:bookmarkStart w:id="5" w:name="_Toc225209484"/>
      <w:r w:rsidRPr="00FA5D9B">
        <w:rPr>
          <w:rStyle w:val="Textoennegrita"/>
        </w:rPr>
        <w:lastRenderedPageBreak/>
        <w:t>Apartado 3: Análisis de Continuidad y Resiliencia (Directiva CER y BIA) (2,5 Puntos)</w:t>
      </w:r>
      <w:bookmarkEnd w:id="5"/>
    </w:p>
    <w:p w14:paraId="290576A3" w14:textId="77777777" w:rsidR="00B04FAC" w:rsidRPr="00B04FAC" w:rsidRDefault="00B04FAC" w:rsidP="00B04FAC"/>
    <w:p w14:paraId="67DD114C" w14:textId="51A50223" w:rsidR="00317923" w:rsidRDefault="00317923" w:rsidP="006C66E6">
      <w:pPr>
        <w:rPr>
          <w:b/>
          <w:bCs/>
        </w:rPr>
      </w:pPr>
      <w:r w:rsidRPr="00B04FAC">
        <w:rPr>
          <w:b/>
          <w:bCs/>
        </w:rPr>
        <w:t>1. </w:t>
      </w:r>
      <w:r w:rsidRPr="00B04FAC">
        <w:rPr>
          <w:b/>
          <w:bCs/>
          <w:u w:val="single"/>
        </w:rPr>
        <w:t>Directiva CER</w:t>
      </w:r>
      <w:r w:rsidRPr="00B04FAC">
        <w:rPr>
          <w:b/>
          <w:bCs/>
        </w:rPr>
        <w:t>: Dado que ACME tiene una sede física crítica y provee servicios esenciales, la nueva Directiva CER (resiliencia de entidades críticas) le aplica. A diferencia de la NIS 2, ¿de qué tipo de amenazas debe protegerse ACME para cumplir con la CER? Pon un ejemplo basado en la descripción de su sede (jardines, acceso público, etc.).</w:t>
      </w:r>
    </w:p>
    <w:p w14:paraId="424FD806" w14:textId="7E363DC8" w:rsidR="00B04FAC" w:rsidRDefault="00B04FAC" w:rsidP="006C66E6"/>
    <w:p w14:paraId="01ED156D" w14:textId="433DD1A9" w:rsidR="00B04FAC" w:rsidRDefault="00B04FAC" w:rsidP="006C66E6">
      <w:r>
        <w:t>Dado que la directiva CER se basa en amenazas físicas y no cibernéticas, por ejemplo, como desastres naturales… Para el ejemplo de ACME las zonas de acceso público (parques)</w:t>
      </w:r>
      <w:r w:rsidR="005D43B0">
        <w:t xml:space="preserve">, </w:t>
      </w:r>
      <w:r w:rsidR="008A7006">
        <w:t>la alta dependencia</w:t>
      </w:r>
      <w:r>
        <w:t xml:space="preserve"> de </w:t>
      </w:r>
      <w:r w:rsidR="005D43B0">
        <w:t xml:space="preserve">tecnología y las </w:t>
      </w:r>
      <w:r>
        <w:t>oficinas inteligentes</w:t>
      </w:r>
      <w:r w:rsidR="005D43B0">
        <w:t xml:space="preserve"> deben protegerse frente amenazas físicas, por ejemplo: Tener parques abiertos al público aumenta el riesgo de intrusión o sabotaje, una persona podría entrar y dañas los sistemas.</w:t>
      </w:r>
    </w:p>
    <w:p w14:paraId="7881C4A1" w14:textId="77777777" w:rsidR="00B04FAC" w:rsidRPr="00B04FAC" w:rsidRDefault="00B04FAC" w:rsidP="006C66E6"/>
    <w:p w14:paraId="26ED8FEA" w14:textId="77777777" w:rsidR="00317923" w:rsidRPr="008A7006" w:rsidRDefault="00317923" w:rsidP="006C66E6">
      <w:pPr>
        <w:rPr>
          <w:b/>
          <w:bCs/>
        </w:rPr>
      </w:pPr>
      <w:r w:rsidRPr="008A7006">
        <w:rPr>
          <w:b/>
          <w:bCs/>
        </w:rPr>
        <w:t>2. </w:t>
      </w:r>
      <w:r w:rsidRPr="008A7006">
        <w:rPr>
          <w:b/>
          <w:bCs/>
          <w:u w:val="single"/>
        </w:rPr>
        <w:t>Cálculo de parámetros BIA</w:t>
      </w:r>
      <w:r w:rsidRPr="008A7006">
        <w:rPr>
          <w:b/>
          <w:bCs/>
        </w:rPr>
        <w:t>: Realiza el análisis de impacto basándote en los datos económicos proporcionados:</w:t>
      </w:r>
    </w:p>
    <w:p w14:paraId="02B6CECA" w14:textId="418445B6" w:rsidR="00317923" w:rsidRDefault="00317923" w:rsidP="006C66E6">
      <w:pPr>
        <w:pStyle w:val="Prrafodelista"/>
        <w:numPr>
          <w:ilvl w:val="0"/>
          <w:numId w:val="14"/>
        </w:numPr>
        <w:rPr>
          <w:b/>
          <w:bCs/>
        </w:rPr>
      </w:pPr>
      <w:r w:rsidRPr="008A7006">
        <w:rPr>
          <w:b/>
          <w:bCs/>
        </w:rPr>
        <w:t>Calcula el coste total del incidente si el servicio cae durante 1 hora, 2 horas y 3 horas.</w:t>
      </w:r>
    </w:p>
    <w:p w14:paraId="0A732BCB" w14:textId="544B518D" w:rsidR="008A7006" w:rsidRDefault="008A7006" w:rsidP="008A7006">
      <w:r>
        <w:t>Basándonos en el coste por interrupción y el impacto reputacional de imagen, calculamos:</w:t>
      </w:r>
    </w:p>
    <w:p w14:paraId="3930D29A" w14:textId="562A1DF7" w:rsidR="008A7006" w:rsidRDefault="008A7006" w:rsidP="008A7006">
      <w:pPr>
        <w:pStyle w:val="Prrafodelista"/>
        <w:numPr>
          <w:ilvl w:val="1"/>
          <w:numId w:val="14"/>
        </w:numPr>
      </w:pPr>
      <w:r>
        <w:t>200.000 € por incidente.</w:t>
      </w:r>
    </w:p>
    <w:p w14:paraId="28CC7435" w14:textId="77777777" w:rsidR="00DC59E8" w:rsidRDefault="00DC59E8" w:rsidP="00DC59E8">
      <w:pPr>
        <w:pStyle w:val="Prrafodelista"/>
        <w:ind w:left="1440"/>
      </w:pPr>
    </w:p>
    <w:p w14:paraId="0D08279C" w14:textId="36C75A82" w:rsidR="00DC59E8" w:rsidRDefault="008A7006" w:rsidP="00DC59E8">
      <w:pPr>
        <w:pStyle w:val="Prrafodelista"/>
        <w:numPr>
          <w:ilvl w:val="1"/>
          <w:numId w:val="14"/>
        </w:numPr>
      </w:pPr>
      <w:r>
        <w:t>500.000 € a partir de la primera hora de caída completa.</w:t>
      </w:r>
    </w:p>
    <w:p w14:paraId="18E805DF" w14:textId="77777777" w:rsidR="00DC59E8" w:rsidRDefault="00DC59E8" w:rsidP="00DC59E8">
      <w:pPr>
        <w:spacing w:after="0"/>
      </w:pPr>
    </w:p>
    <w:p w14:paraId="29151E3E" w14:textId="686E0723" w:rsidR="00DC59E8" w:rsidRDefault="008A7006" w:rsidP="00DC59E8">
      <w:pPr>
        <w:pStyle w:val="Prrafodelista"/>
        <w:numPr>
          <w:ilvl w:val="0"/>
          <w:numId w:val="22"/>
        </w:numPr>
      </w:pPr>
      <w:r w:rsidRPr="008A7006">
        <w:rPr>
          <w:u w:val="single"/>
        </w:rPr>
        <w:t>1 hora</w:t>
      </w:r>
      <w:r>
        <w:t>: 200.000 € por incidente</w:t>
      </w:r>
    </w:p>
    <w:p w14:paraId="766C2120" w14:textId="43A0ACC6" w:rsidR="00DC59E8" w:rsidRDefault="008A7006" w:rsidP="00DC59E8">
      <w:pPr>
        <w:pStyle w:val="Prrafodelista"/>
        <w:numPr>
          <w:ilvl w:val="0"/>
          <w:numId w:val="22"/>
        </w:numPr>
      </w:pPr>
      <w:r w:rsidRPr="008A7006">
        <w:rPr>
          <w:u w:val="single"/>
        </w:rPr>
        <w:t>2 horas</w:t>
      </w:r>
      <w:r>
        <w:t>: 700.000 €, el incidente más una hora a mayores de la primera.</w:t>
      </w:r>
    </w:p>
    <w:p w14:paraId="38A90493" w14:textId="10E30C71" w:rsidR="008A7006" w:rsidRPr="008A7006" w:rsidRDefault="008A7006" w:rsidP="008A7006">
      <w:pPr>
        <w:pStyle w:val="Prrafodelista"/>
        <w:numPr>
          <w:ilvl w:val="0"/>
          <w:numId w:val="22"/>
        </w:numPr>
      </w:pPr>
      <w:r w:rsidRPr="008A7006">
        <w:rPr>
          <w:u w:val="single"/>
        </w:rPr>
        <w:t>3</w:t>
      </w:r>
      <w:r w:rsidRPr="008A7006">
        <w:rPr>
          <w:u w:val="single"/>
        </w:rPr>
        <w:t xml:space="preserve"> horas</w:t>
      </w:r>
      <w:r>
        <w:t xml:space="preserve">: </w:t>
      </w:r>
      <w:r>
        <w:t>1.2</w:t>
      </w:r>
      <w:r>
        <w:t xml:space="preserve">00.000 €, el incidente más </w:t>
      </w:r>
      <w:r>
        <w:t>dos</w:t>
      </w:r>
      <w:r>
        <w:t xml:space="preserve"> hora</w:t>
      </w:r>
      <w:r>
        <w:t>s</w:t>
      </w:r>
      <w:r>
        <w:t xml:space="preserve"> a mayores de la primera.</w:t>
      </w:r>
    </w:p>
    <w:p w14:paraId="5E487798" w14:textId="6014BFE0" w:rsidR="008A7006" w:rsidRDefault="008A7006" w:rsidP="008A7006">
      <w:pPr>
        <w:rPr>
          <w:b/>
          <w:bCs/>
        </w:rPr>
      </w:pPr>
    </w:p>
    <w:p w14:paraId="1711DF60" w14:textId="23B3280A" w:rsidR="00DC59E8" w:rsidRDefault="00DC59E8" w:rsidP="008A7006">
      <w:pPr>
        <w:rPr>
          <w:b/>
          <w:bCs/>
        </w:rPr>
      </w:pPr>
    </w:p>
    <w:p w14:paraId="2B13CA05" w14:textId="3139F91C" w:rsidR="00DC59E8" w:rsidRDefault="00DC59E8" w:rsidP="008A7006">
      <w:pPr>
        <w:rPr>
          <w:b/>
          <w:bCs/>
        </w:rPr>
      </w:pPr>
    </w:p>
    <w:p w14:paraId="1816721A" w14:textId="30241B80" w:rsidR="00DC59E8" w:rsidRDefault="00DC59E8" w:rsidP="008A7006">
      <w:pPr>
        <w:rPr>
          <w:b/>
          <w:bCs/>
        </w:rPr>
      </w:pPr>
    </w:p>
    <w:p w14:paraId="743FBEFC" w14:textId="4C8EC04F" w:rsidR="00DC59E8" w:rsidRDefault="00DC59E8" w:rsidP="008A7006">
      <w:pPr>
        <w:rPr>
          <w:b/>
          <w:bCs/>
        </w:rPr>
      </w:pPr>
    </w:p>
    <w:p w14:paraId="1B746CCB" w14:textId="77777777" w:rsidR="00DC59E8" w:rsidRPr="008A7006" w:rsidRDefault="00DC59E8" w:rsidP="008A7006">
      <w:pPr>
        <w:rPr>
          <w:b/>
          <w:bCs/>
        </w:rPr>
      </w:pPr>
    </w:p>
    <w:p w14:paraId="3A27D980" w14:textId="606C6B1E" w:rsidR="00317923" w:rsidRDefault="00317923" w:rsidP="006C66E6">
      <w:pPr>
        <w:pStyle w:val="Prrafodelista"/>
        <w:numPr>
          <w:ilvl w:val="0"/>
          <w:numId w:val="14"/>
        </w:numPr>
        <w:rPr>
          <w:b/>
          <w:bCs/>
        </w:rPr>
      </w:pPr>
      <w:r w:rsidRPr="008A7006">
        <w:rPr>
          <w:b/>
          <w:bCs/>
        </w:rPr>
        <w:lastRenderedPageBreak/>
        <w:t>Determina el MTPD (Tiempo Máximo Tolerable de Interrupción) exacto antes de superar el límite de pérdidas de 1,5 millones de euros.</w:t>
      </w:r>
    </w:p>
    <w:p w14:paraId="3A565A21" w14:textId="7DDAB79E" w:rsidR="00651E55" w:rsidRPr="00651E55" w:rsidRDefault="00651E55" w:rsidP="00651E55">
      <w:r>
        <w:t xml:space="preserve">En el ejemplo anterior vimos el coste de 3 horas (1.200.00 €), si asciende a 4 horas sería de 1.700.00 €, lo que superaría el MTPD, entonces podemos decir que el </w:t>
      </w:r>
      <w:r w:rsidRPr="00651E55">
        <w:rPr>
          <w:u w:val="single"/>
        </w:rPr>
        <w:t>MTPD es de 3 horas</w:t>
      </w:r>
    </w:p>
    <w:p w14:paraId="3BE192D2" w14:textId="77777777" w:rsidR="00DC59E8" w:rsidRPr="00651E55" w:rsidRDefault="00DC59E8" w:rsidP="00651E55">
      <w:pPr>
        <w:rPr>
          <w:b/>
          <w:bCs/>
        </w:rPr>
      </w:pPr>
    </w:p>
    <w:p w14:paraId="25CFCD3C" w14:textId="4AC31A97" w:rsidR="00317923" w:rsidRDefault="00317923" w:rsidP="006C66E6">
      <w:pPr>
        <w:pStyle w:val="Prrafodelista"/>
        <w:numPr>
          <w:ilvl w:val="0"/>
          <w:numId w:val="14"/>
        </w:numPr>
        <w:rPr>
          <w:b/>
          <w:bCs/>
        </w:rPr>
      </w:pPr>
      <w:r w:rsidRPr="008A7006">
        <w:rPr>
          <w:b/>
          <w:bCs/>
        </w:rPr>
        <w:t>Propón un RTO (Objetivo de Tiempo de Recuperación) lógico para este escenario.</w:t>
      </w:r>
    </w:p>
    <w:p w14:paraId="39DFE5CD" w14:textId="39273D1C" w:rsidR="00651E55" w:rsidRPr="00651E55" w:rsidRDefault="00651E55" w:rsidP="00651E55">
      <w:r>
        <w:t xml:space="preserve">Obviamente el RTO tiene que ser menor que el MTPD para tener un margen de seguridad, propondría un </w:t>
      </w:r>
      <w:r w:rsidRPr="00651E55">
        <w:rPr>
          <w:u w:val="single"/>
        </w:rPr>
        <w:t>RTO de menos de 2 horas</w:t>
      </w:r>
      <w:r>
        <w:t>, para tener un margen de seguridad y evitar grandes pérdidas.</w:t>
      </w:r>
    </w:p>
    <w:p w14:paraId="14B76129" w14:textId="77777777" w:rsidR="00651E55" w:rsidRPr="00651E55" w:rsidRDefault="00651E55" w:rsidP="00651E55">
      <w:pPr>
        <w:rPr>
          <w:b/>
          <w:bCs/>
        </w:rPr>
      </w:pPr>
    </w:p>
    <w:p w14:paraId="30013716" w14:textId="57CA55AF" w:rsidR="00317923" w:rsidRDefault="00317923" w:rsidP="00FA5D9B">
      <w:pPr>
        <w:pStyle w:val="Ttulo1"/>
        <w:rPr>
          <w:rStyle w:val="Textoennegrita"/>
        </w:rPr>
      </w:pPr>
      <w:bookmarkStart w:id="6" w:name="_Toc225209485"/>
      <w:r w:rsidRPr="00FA5D9B">
        <w:rPr>
          <w:rStyle w:val="Textoennegrita"/>
        </w:rPr>
        <w:t>Apartado 4: Esquema Nacional de Seguridad (ENS) (2,5 Puntos)</w:t>
      </w:r>
      <w:bookmarkEnd w:id="6"/>
    </w:p>
    <w:p w14:paraId="0845FAC9" w14:textId="77777777" w:rsidR="00DC59E8" w:rsidRPr="00DC59E8" w:rsidRDefault="00DC59E8" w:rsidP="00DC59E8"/>
    <w:p w14:paraId="39AB1AFD" w14:textId="77777777" w:rsidR="00317923" w:rsidRDefault="00317923" w:rsidP="006C66E6">
      <w:r>
        <w:t>ACME presta servicios a las embajadas, lo que implica tratar información clasificada o sensible de la Administración Pública.</w:t>
      </w:r>
    </w:p>
    <w:p w14:paraId="7F39E349" w14:textId="5C7E7645" w:rsidR="002506A8" w:rsidRDefault="00317923" w:rsidP="006C66E6">
      <w:pPr>
        <w:rPr>
          <w:b/>
          <w:bCs/>
        </w:rPr>
      </w:pPr>
      <w:r w:rsidRPr="002506A8">
        <w:rPr>
          <w:b/>
          <w:bCs/>
        </w:rPr>
        <w:t>1. </w:t>
      </w:r>
      <w:r w:rsidRPr="002506A8">
        <w:rPr>
          <w:b/>
          <w:bCs/>
          <w:u w:val="single"/>
        </w:rPr>
        <w:t>Categorización del sistema</w:t>
      </w:r>
      <w:r w:rsidRPr="002506A8">
        <w:rPr>
          <w:b/>
          <w:bCs/>
        </w:rPr>
        <w:t>: Determina la categoría del sistema (Básica, Media o Alta) según el ENS. Para ello, valora las dimensiones de Confidencialidad y Disponibilidad para el servicio de las embajadas. Justifica por qué asignas ese nivel a cada dimensión (piensa en el impacto de que se filtren comunicaciones diplomáticas o que estas se corten).</w:t>
      </w:r>
    </w:p>
    <w:p w14:paraId="70D77BA1" w14:textId="77777777" w:rsidR="00DC59E8" w:rsidRDefault="00DC59E8" w:rsidP="006C66E6">
      <w:pPr>
        <w:rPr>
          <w:b/>
          <w:bCs/>
        </w:rPr>
      </w:pPr>
    </w:p>
    <w:p w14:paraId="22235238" w14:textId="6CAD124E" w:rsidR="002506A8" w:rsidRDefault="002506A8" w:rsidP="006C66E6">
      <w:r>
        <w:t xml:space="preserve">Dado que se manejan comunicaciones con la embajada, serían comunicaciones sensibles así que la determinaría de categoría </w:t>
      </w:r>
      <w:r w:rsidRPr="002506A8">
        <w:rPr>
          <w:u w:val="single"/>
        </w:rPr>
        <w:t>ALTA</w:t>
      </w:r>
      <w:r>
        <w:t>, es decir:</w:t>
      </w:r>
    </w:p>
    <w:p w14:paraId="46A42EA0" w14:textId="7DAA6855" w:rsidR="002506A8" w:rsidRDefault="002506A8" w:rsidP="002506A8">
      <w:pPr>
        <w:pStyle w:val="Prrafodelista"/>
        <w:numPr>
          <w:ilvl w:val="0"/>
          <w:numId w:val="22"/>
        </w:numPr>
      </w:pPr>
      <w:r w:rsidRPr="002506A8">
        <w:rPr>
          <w:u w:val="single"/>
        </w:rPr>
        <w:t>Confidencialidad: ALTA</w:t>
      </w:r>
      <w:r>
        <w:t>, dado que se manejan comunicaciones sensibles con organizaciones públicas internacionales.</w:t>
      </w:r>
    </w:p>
    <w:p w14:paraId="0D718CE1" w14:textId="0CC1C4A4" w:rsidR="002506A8" w:rsidRPr="002506A8" w:rsidRDefault="002506A8" w:rsidP="002506A8">
      <w:pPr>
        <w:pStyle w:val="Prrafodelista"/>
        <w:numPr>
          <w:ilvl w:val="0"/>
          <w:numId w:val="22"/>
        </w:numPr>
      </w:pPr>
      <w:r w:rsidRPr="002506A8">
        <w:rPr>
          <w:u w:val="single"/>
        </w:rPr>
        <w:t>Disponibilidad: ALTA</w:t>
      </w:r>
      <w:r>
        <w:t>, dado que una interrupción afectaría a los servicios de la comunicación del Estado.</w:t>
      </w:r>
    </w:p>
    <w:p w14:paraId="27A3CBFD" w14:textId="77777777" w:rsidR="002506A8" w:rsidRPr="002506A8" w:rsidRDefault="002506A8" w:rsidP="006C66E6">
      <w:pPr>
        <w:rPr>
          <w:b/>
          <w:bCs/>
        </w:rPr>
      </w:pPr>
    </w:p>
    <w:p w14:paraId="4C45AD6A" w14:textId="04AADED0" w:rsidR="002506A8" w:rsidRPr="00DC59E8" w:rsidRDefault="00317923" w:rsidP="006C66E6">
      <w:pPr>
        <w:rPr>
          <w:b/>
          <w:bCs/>
        </w:rPr>
      </w:pPr>
      <w:r w:rsidRPr="002506A8">
        <w:rPr>
          <w:b/>
          <w:bCs/>
        </w:rPr>
        <w:t>2. </w:t>
      </w:r>
      <w:r w:rsidRPr="002506A8">
        <w:rPr>
          <w:b/>
          <w:bCs/>
          <w:u w:val="single"/>
        </w:rPr>
        <w:t>Declaración de aplicabilidad</w:t>
      </w:r>
      <w:r w:rsidRPr="002506A8">
        <w:rPr>
          <w:b/>
          <w:bCs/>
        </w:rPr>
        <w:t>: Si el sistema resulta ser de categoría MEDIA o ALTA, ¿es suficiente con aplicar los controles básicos? ¿Qué tipo de auditoría externa debería pasar ACME cada dos años según el ENS para mantener la conformidad?</w:t>
      </w:r>
    </w:p>
    <w:p w14:paraId="59EC530F" w14:textId="62F0F9D4" w:rsidR="002506A8" w:rsidRDefault="00390F31" w:rsidP="006C66E6">
      <w:r>
        <w:t>No sería suficiente solo con aplicar los controles básicos dado que ACME al trabajar con embajadas por ejemplo el impacto de cualquier incidencia es alto.</w:t>
      </w:r>
    </w:p>
    <w:p w14:paraId="51AD2324" w14:textId="6C74C157" w:rsidR="00390F31" w:rsidRPr="002506A8" w:rsidRDefault="00390F31" w:rsidP="006C66E6">
      <w:r>
        <w:lastRenderedPageBreak/>
        <w:t>Según el capítulo 4 del ENS Seguridad de sistemas: auditoría, informe e incidentes de seguridad, establece los requisitos de auditoría de seguridad de la organización.</w:t>
      </w:r>
      <w:r w:rsidR="004771CB">
        <w:t xml:space="preserve"> Luego en el Anexo III del ENS se especifica la auditoría de</w:t>
      </w:r>
      <w:r w:rsidR="00DC59E8">
        <w:t xml:space="preserve"> </w:t>
      </w:r>
      <w:r w:rsidR="004771CB">
        <w:t>seguridad.</w:t>
      </w:r>
      <w:r w:rsidR="004771CB" w:rsidRPr="004771CB">
        <w:rPr>
          <w:noProof/>
        </w:rPr>
        <w:t xml:space="preserve"> </w:t>
      </w:r>
      <w:r w:rsidR="004771CB" w:rsidRPr="004771CB">
        <w:drawing>
          <wp:inline distT="0" distB="0" distL="0" distR="0" wp14:anchorId="090BE8B8" wp14:editId="656904C0">
            <wp:extent cx="5400040" cy="250507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505075"/>
                    </a:xfrm>
                    <a:prstGeom prst="rect">
                      <a:avLst/>
                    </a:prstGeom>
                  </pic:spPr>
                </pic:pic>
              </a:graphicData>
            </a:graphic>
          </wp:inline>
        </w:drawing>
      </w:r>
    </w:p>
    <w:p w14:paraId="0B49F2FF" w14:textId="08D1AB1A" w:rsidR="00317923" w:rsidRDefault="00317923" w:rsidP="002F5B4D">
      <w:pPr>
        <w:rPr>
          <w:u w:val="single"/>
        </w:rPr>
      </w:pPr>
    </w:p>
    <w:p w14:paraId="19CF4750" w14:textId="3FEF8547" w:rsidR="00DD1BBD" w:rsidRDefault="00DD1BBD" w:rsidP="002F5B4D">
      <w:pPr>
        <w:rPr>
          <w:u w:val="single"/>
        </w:rPr>
      </w:pPr>
    </w:p>
    <w:p w14:paraId="62D8DDFE" w14:textId="07314C57" w:rsidR="00DD1BBD" w:rsidRDefault="00DD1BBD" w:rsidP="002F5B4D">
      <w:pPr>
        <w:rPr>
          <w:u w:val="single"/>
        </w:rPr>
      </w:pPr>
      <w:r>
        <w:rPr>
          <w:u w:val="single"/>
        </w:rPr>
        <w:t>Webgrafía:</w:t>
      </w:r>
    </w:p>
    <w:p w14:paraId="094A62D3" w14:textId="682BA879" w:rsidR="00DD1BBD" w:rsidRDefault="00DD1BBD" w:rsidP="00DD1BBD">
      <w:pPr>
        <w:pStyle w:val="Prrafodelista"/>
        <w:numPr>
          <w:ilvl w:val="0"/>
          <w:numId w:val="16"/>
        </w:numPr>
        <w:rPr>
          <w:u w:val="single"/>
        </w:rPr>
      </w:pPr>
      <w:hyperlink r:id="rId13" w:history="1">
        <w:r w:rsidRPr="00AE6084">
          <w:rPr>
            <w:rStyle w:val="Hipervnculo"/>
          </w:rPr>
          <w:t>https://ciberso.com/blog/gobierno-de-la-ciberseguridad/directiva-nis-2-un-marco-coordinado-para-reforzar-la-ciberseguridad-en-europa/</w:t>
        </w:r>
      </w:hyperlink>
    </w:p>
    <w:p w14:paraId="39F164A6" w14:textId="3D6A3A54" w:rsidR="00DD1BBD" w:rsidRDefault="004771CB" w:rsidP="00DD1BBD">
      <w:pPr>
        <w:pStyle w:val="Prrafodelista"/>
        <w:numPr>
          <w:ilvl w:val="0"/>
          <w:numId w:val="16"/>
        </w:numPr>
        <w:rPr>
          <w:u w:val="single"/>
        </w:rPr>
      </w:pPr>
      <w:hyperlink r:id="rId14" w:history="1">
        <w:r w:rsidRPr="00AE6084">
          <w:rPr>
            <w:rStyle w:val="Hipervnculo"/>
          </w:rPr>
          <w:t>https://www.ccn-cert.cni.es/en/pdf/guias/series-ccn-stic/800-guia-esquema-nacional-de-seguridad/502-ccn-stic-802-auditoria-del-ens/file.html</w:t>
        </w:r>
      </w:hyperlink>
    </w:p>
    <w:p w14:paraId="03735A07" w14:textId="4FE4E8A9" w:rsidR="004771CB" w:rsidRPr="004771CB" w:rsidRDefault="004771CB" w:rsidP="004771CB">
      <w:pPr>
        <w:pStyle w:val="Prrafodelista"/>
        <w:numPr>
          <w:ilvl w:val="0"/>
          <w:numId w:val="16"/>
        </w:numPr>
        <w:rPr>
          <w:u w:val="single"/>
        </w:rPr>
      </w:pPr>
      <w:hyperlink r:id="rId15" w:history="1">
        <w:r w:rsidRPr="00AE6084">
          <w:rPr>
            <w:rStyle w:val="Hipervnculo"/>
          </w:rPr>
          <w:t>https://www.boe.es/boe/dias/2022/05/04/pdfs/BOE-A-2022-7191.pdf</w:t>
        </w:r>
      </w:hyperlink>
    </w:p>
    <w:sectPr w:rsidR="004771CB" w:rsidRPr="004771CB" w:rsidSect="002A23D7">
      <w:footerReference w:type="default" r:id="rId16"/>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72312D" w14:textId="77777777" w:rsidR="00CD3D72" w:rsidRDefault="00CD3D72">
      <w:pPr>
        <w:spacing w:after="0" w:line="240" w:lineRule="auto"/>
      </w:pPr>
      <w:r>
        <w:separator/>
      </w:r>
    </w:p>
  </w:endnote>
  <w:endnote w:type="continuationSeparator" w:id="0">
    <w:p w14:paraId="2D5F3BC2" w14:textId="77777777" w:rsidR="00CD3D72" w:rsidRDefault="00CD3D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altName w:val="Calibri"/>
    <w:charset w:val="00"/>
    <w:family w:val="swiss"/>
    <w:pitch w:val="variable"/>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EC0C" w14:textId="77777777" w:rsidR="008F35B1" w:rsidRDefault="002F5B4D">
    <w:pPr>
      <w:tabs>
        <w:tab w:val="center" w:pos="4550"/>
        <w:tab w:val="left" w:pos="5818"/>
      </w:tabs>
      <w:ind w:right="260"/>
      <w:jc w:val="right"/>
      <w:rPr>
        <w:color w:val="222A35" w:themeColor="text2" w:themeShade="80"/>
        <w:szCs w:val="24"/>
      </w:rPr>
    </w:pPr>
    <w:r>
      <w:rPr>
        <w:color w:val="8496B0" w:themeColor="text2" w:themeTint="99"/>
        <w:spacing w:val="60"/>
        <w:szCs w:val="24"/>
      </w:rPr>
      <w:t>Página</w:t>
    </w:r>
    <w:r>
      <w:rPr>
        <w:color w:val="8496B0" w:themeColor="text2" w:themeTint="99"/>
        <w:szCs w:val="24"/>
      </w:rPr>
      <w:t xml:space="preserve"> </w:t>
    </w:r>
    <w:r>
      <w:rPr>
        <w:color w:val="323E4F" w:themeColor="text2" w:themeShade="BF"/>
        <w:szCs w:val="24"/>
      </w:rPr>
      <w:fldChar w:fldCharType="begin"/>
    </w:r>
    <w:r>
      <w:rPr>
        <w:color w:val="323E4F" w:themeColor="text2" w:themeShade="BF"/>
        <w:szCs w:val="24"/>
      </w:rPr>
      <w:instrText>PAGE   \* MERGEFORMAT</w:instrText>
    </w:r>
    <w:r>
      <w:rPr>
        <w:color w:val="323E4F" w:themeColor="text2" w:themeShade="BF"/>
        <w:szCs w:val="24"/>
      </w:rPr>
      <w:fldChar w:fldCharType="separate"/>
    </w:r>
    <w:r>
      <w:rPr>
        <w:color w:val="323E4F" w:themeColor="text2" w:themeShade="BF"/>
        <w:szCs w:val="24"/>
      </w:rPr>
      <w:t>1</w:t>
    </w:r>
    <w:r>
      <w:rPr>
        <w:color w:val="323E4F" w:themeColor="text2" w:themeShade="BF"/>
        <w:szCs w:val="24"/>
      </w:rPr>
      <w:fldChar w:fldCharType="end"/>
    </w:r>
    <w:r>
      <w:rPr>
        <w:color w:val="323E4F" w:themeColor="text2" w:themeShade="BF"/>
        <w:szCs w:val="24"/>
      </w:rPr>
      <w:t xml:space="preserve"> | </w:t>
    </w:r>
    <w:r>
      <w:rPr>
        <w:color w:val="323E4F" w:themeColor="text2" w:themeShade="BF"/>
        <w:szCs w:val="24"/>
      </w:rPr>
      <w:fldChar w:fldCharType="begin"/>
    </w:r>
    <w:r>
      <w:rPr>
        <w:color w:val="323E4F" w:themeColor="text2" w:themeShade="BF"/>
        <w:szCs w:val="24"/>
      </w:rPr>
      <w:instrText>NUMPAGES  \* Arabic  \* MERGEFORMAT</w:instrText>
    </w:r>
    <w:r>
      <w:rPr>
        <w:color w:val="323E4F" w:themeColor="text2" w:themeShade="BF"/>
        <w:szCs w:val="24"/>
      </w:rPr>
      <w:fldChar w:fldCharType="separate"/>
    </w:r>
    <w:r>
      <w:rPr>
        <w:color w:val="323E4F" w:themeColor="text2" w:themeShade="BF"/>
        <w:szCs w:val="24"/>
      </w:rPr>
      <w:t>1</w:t>
    </w:r>
    <w:r>
      <w:rPr>
        <w:color w:val="323E4F" w:themeColor="text2" w:themeShade="BF"/>
        <w:szCs w:val="24"/>
      </w:rPr>
      <w:fldChar w:fldCharType="end"/>
    </w:r>
  </w:p>
  <w:p w14:paraId="757D83C3" w14:textId="77777777" w:rsidR="00D24417" w:rsidRDefault="00CD3D7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BFABCF" w14:textId="77777777" w:rsidR="00CD3D72" w:rsidRDefault="00CD3D72">
      <w:pPr>
        <w:spacing w:after="0" w:line="240" w:lineRule="auto"/>
      </w:pPr>
      <w:r>
        <w:separator/>
      </w:r>
    </w:p>
  </w:footnote>
  <w:footnote w:type="continuationSeparator" w:id="0">
    <w:p w14:paraId="1A3E9BA7" w14:textId="77777777" w:rsidR="00CD3D72" w:rsidRDefault="00CD3D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77BFC"/>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A560A"/>
    <w:multiLevelType w:val="hybridMultilevel"/>
    <w:tmpl w:val="F2B80D5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3FE5030"/>
    <w:multiLevelType w:val="hybridMultilevel"/>
    <w:tmpl w:val="F17EFDC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C1B07FC"/>
    <w:multiLevelType w:val="hybridMultilevel"/>
    <w:tmpl w:val="DDF0056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 w15:restartNumberingAfterBreak="0">
    <w:nsid w:val="0F277176"/>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40FCF"/>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137BD"/>
    <w:multiLevelType w:val="hybridMultilevel"/>
    <w:tmpl w:val="F2A08DA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0C260FD"/>
    <w:multiLevelType w:val="hybridMultilevel"/>
    <w:tmpl w:val="CB10A3D0"/>
    <w:lvl w:ilvl="0" w:tplc="62D8922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8911036"/>
    <w:multiLevelType w:val="multilevel"/>
    <w:tmpl w:val="3F6C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30CCF"/>
    <w:multiLevelType w:val="hybridMultilevel"/>
    <w:tmpl w:val="0478D1A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5BA4F32"/>
    <w:multiLevelType w:val="hybridMultilevel"/>
    <w:tmpl w:val="AE9E808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5CF00E9"/>
    <w:multiLevelType w:val="hybridMultilevel"/>
    <w:tmpl w:val="99328660"/>
    <w:lvl w:ilvl="0" w:tplc="C5281FEA">
      <w:start w:val="1"/>
      <w:numFmt w:val="bullet"/>
      <w:lvlText w:val="-"/>
      <w:lvlJc w:val="left"/>
      <w:pPr>
        <w:ind w:left="420" w:hanging="360"/>
      </w:pPr>
      <w:rPr>
        <w:rFonts w:ascii="Arial" w:eastAsiaTheme="minorHAnsi" w:hAnsi="Arial" w:cs="Arial" w:hint="default"/>
      </w:rPr>
    </w:lvl>
    <w:lvl w:ilvl="1" w:tplc="0C0A0003" w:tentative="1">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abstractNum w:abstractNumId="12" w15:restartNumberingAfterBreak="0">
    <w:nsid w:val="49214132"/>
    <w:multiLevelType w:val="hybridMultilevel"/>
    <w:tmpl w:val="FDE601A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9F92958"/>
    <w:multiLevelType w:val="multilevel"/>
    <w:tmpl w:val="9950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79562F"/>
    <w:multiLevelType w:val="hybridMultilevel"/>
    <w:tmpl w:val="24DEE58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DC40F72"/>
    <w:multiLevelType w:val="multilevel"/>
    <w:tmpl w:val="9CBA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A02F2B"/>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0C2DE8"/>
    <w:multiLevelType w:val="hybridMultilevel"/>
    <w:tmpl w:val="65C0CEF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50A06BB"/>
    <w:multiLevelType w:val="hybridMultilevel"/>
    <w:tmpl w:val="AE9E808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61F00F0"/>
    <w:multiLevelType w:val="hybridMultilevel"/>
    <w:tmpl w:val="19960E70"/>
    <w:lvl w:ilvl="0" w:tplc="D6DC706A">
      <w:start w:val="1"/>
      <w:numFmt w:val="bullet"/>
      <w:lvlText w:val="-"/>
      <w:lvlJc w:val="left"/>
      <w:pPr>
        <w:ind w:left="420" w:hanging="360"/>
      </w:pPr>
      <w:rPr>
        <w:rFonts w:ascii="Arial" w:eastAsiaTheme="minorHAnsi" w:hAnsi="Arial" w:cs="Arial" w:hint="default"/>
      </w:rPr>
    </w:lvl>
    <w:lvl w:ilvl="1" w:tplc="0C0A0003" w:tentative="1">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abstractNum w:abstractNumId="20" w15:restartNumberingAfterBreak="0">
    <w:nsid w:val="6D0F39CA"/>
    <w:multiLevelType w:val="hybridMultilevel"/>
    <w:tmpl w:val="F970FAE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F433F46"/>
    <w:multiLevelType w:val="hybridMultilevel"/>
    <w:tmpl w:val="296EC0F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6"/>
  </w:num>
  <w:num w:numId="3">
    <w:abstractNumId w:val="4"/>
  </w:num>
  <w:num w:numId="4">
    <w:abstractNumId w:val="5"/>
  </w:num>
  <w:num w:numId="5">
    <w:abstractNumId w:val="3"/>
  </w:num>
  <w:num w:numId="6">
    <w:abstractNumId w:val="6"/>
  </w:num>
  <w:num w:numId="7">
    <w:abstractNumId w:val="17"/>
  </w:num>
  <w:num w:numId="8">
    <w:abstractNumId w:val="21"/>
  </w:num>
  <w:num w:numId="9">
    <w:abstractNumId w:val="14"/>
  </w:num>
  <w:num w:numId="10">
    <w:abstractNumId w:val="7"/>
  </w:num>
  <w:num w:numId="11">
    <w:abstractNumId w:val="15"/>
  </w:num>
  <w:num w:numId="12">
    <w:abstractNumId w:val="13"/>
  </w:num>
  <w:num w:numId="13">
    <w:abstractNumId w:val="8"/>
  </w:num>
  <w:num w:numId="14">
    <w:abstractNumId w:val="12"/>
  </w:num>
  <w:num w:numId="15">
    <w:abstractNumId w:val="18"/>
  </w:num>
  <w:num w:numId="16">
    <w:abstractNumId w:val="11"/>
  </w:num>
  <w:num w:numId="17">
    <w:abstractNumId w:val="10"/>
  </w:num>
  <w:num w:numId="18">
    <w:abstractNumId w:val="20"/>
  </w:num>
  <w:num w:numId="19">
    <w:abstractNumId w:val="1"/>
  </w:num>
  <w:num w:numId="20">
    <w:abstractNumId w:val="2"/>
  </w:num>
  <w:num w:numId="21">
    <w:abstractNumId w:val="9"/>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B4D"/>
    <w:rsid w:val="001A73FD"/>
    <w:rsid w:val="001C61FE"/>
    <w:rsid w:val="002506A8"/>
    <w:rsid w:val="002F5B4D"/>
    <w:rsid w:val="00317923"/>
    <w:rsid w:val="00390F31"/>
    <w:rsid w:val="004771CB"/>
    <w:rsid w:val="005D43B0"/>
    <w:rsid w:val="00651E55"/>
    <w:rsid w:val="006B5EAD"/>
    <w:rsid w:val="006C66E6"/>
    <w:rsid w:val="00744C0E"/>
    <w:rsid w:val="008A7006"/>
    <w:rsid w:val="00B04FAC"/>
    <w:rsid w:val="00C6621B"/>
    <w:rsid w:val="00CC51F6"/>
    <w:rsid w:val="00CD3D72"/>
    <w:rsid w:val="00D11FD1"/>
    <w:rsid w:val="00DC59E8"/>
    <w:rsid w:val="00DD1BBD"/>
    <w:rsid w:val="00FA5D9B"/>
    <w:rsid w:val="00FD36F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95B81"/>
  <w15:chartTrackingRefBased/>
  <w15:docId w15:val="{D659165E-1B6C-43E4-AC3E-CF06042EE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B4D"/>
    <w:rPr>
      <w:rFonts w:ascii="Arial" w:hAnsi="Arial"/>
      <w:sz w:val="24"/>
    </w:rPr>
  </w:style>
  <w:style w:type="paragraph" w:styleId="Ttulo1">
    <w:name w:val="heading 1"/>
    <w:basedOn w:val="Normal"/>
    <w:next w:val="Normal"/>
    <w:link w:val="Ttulo1Car"/>
    <w:uiPriority w:val="9"/>
    <w:qFormat/>
    <w:rsid w:val="002F5B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F5B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F5B4D"/>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link w:val="Ttulo4Car"/>
    <w:uiPriority w:val="9"/>
    <w:qFormat/>
    <w:rsid w:val="002F5B4D"/>
    <w:pPr>
      <w:spacing w:before="100" w:beforeAutospacing="1" w:after="100" w:afterAutospacing="1" w:line="240" w:lineRule="auto"/>
      <w:outlineLvl w:val="3"/>
    </w:pPr>
    <w:rPr>
      <w:rFonts w:ascii="Times New Roman" w:eastAsia="Times New Roman" w:hAnsi="Times New Roman" w:cs="Times New Roman"/>
      <w:b/>
      <w:bCs/>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5B4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2F5B4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2F5B4D"/>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2F5B4D"/>
    <w:rPr>
      <w:rFonts w:ascii="Times New Roman" w:eastAsia="Times New Roman" w:hAnsi="Times New Roman" w:cs="Times New Roman"/>
      <w:b/>
      <w:bCs/>
      <w:sz w:val="24"/>
      <w:szCs w:val="24"/>
      <w:lang w:eastAsia="es-ES"/>
    </w:rPr>
  </w:style>
  <w:style w:type="paragraph" w:styleId="Sinespaciado">
    <w:name w:val="No Spacing"/>
    <w:qFormat/>
    <w:rsid w:val="002F5B4D"/>
    <w:pPr>
      <w:autoSpaceDN w:val="0"/>
      <w:spacing w:after="0" w:line="240" w:lineRule="auto"/>
    </w:pPr>
    <w:rPr>
      <w:rFonts w:ascii="Aptos" w:eastAsia="Times New Roman" w:hAnsi="Aptos" w:cs="Times New Roman"/>
      <w:lang w:eastAsia="es-ES"/>
    </w:rPr>
  </w:style>
  <w:style w:type="paragraph" w:styleId="Piedepgina">
    <w:name w:val="footer"/>
    <w:basedOn w:val="Normal"/>
    <w:link w:val="PiedepginaCar"/>
    <w:uiPriority w:val="99"/>
    <w:unhideWhenUsed/>
    <w:rsid w:val="002F5B4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F5B4D"/>
    <w:rPr>
      <w:rFonts w:ascii="Arial" w:hAnsi="Arial"/>
      <w:sz w:val="24"/>
    </w:rPr>
  </w:style>
  <w:style w:type="paragraph" w:styleId="Prrafodelista">
    <w:name w:val="List Paragraph"/>
    <w:basedOn w:val="Normal"/>
    <w:uiPriority w:val="34"/>
    <w:qFormat/>
    <w:rsid w:val="002F5B4D"/>
    <w:pPr>
      <w:ind w:left="720"/>
      <w:contextualSpacing/>
    </w:pPr>
  </w:style>
  <w:style w:type="paragraph" w:styleId="TDC1">
    <w:name w:val="toc 1"/>
    <w:basedOn w:val="Normal"/>
    <w:next w:val="Normal"/>
    <w:autoRedefine/>
    <w:uiPriority w:val="39"/>
    <w:unhideWhenUsed/>
    <w:rsid w:val="002F5B4D"/>
    <w:pPr>
      <w:spacing w:after="100"/>
    </w:pPr>
  </w:style>
  <w:style w:type="paragraph" w:styleId="TDC2">
    <w:name w:val="toc 2"/>
    <w:basedOn w:val="Normal"/>
    <w:next w:val="Normal"/>
    <w:autoRedefine/>
    <w:uiPriority w:val="39"/>
    <w:unhideWhenUsed/>
    <w:rsid w:val="002F5B4D"/>
    <w:pPr>
      <w:spacing w:after="100"/>
      <w:ind w:left="220"/>
    </w:pPr>
  </w:style>
  <w:style w:type="paragraph" w:styleId="TDC3">
    <w:name w:val="toc 3"/>
    <w:basedOn w:val="Normal"/>
    <w:next w:val="Normal"/>
    <w:autoRedefine/>
    <w:uiPriority w:val="39"/>
    <w:unhideWhenUsed/>
    <w:rsid w:val="002F5B4D"/>
    <w:pPr>
      <w:spacing w:after="100"/>
      <w:ind w:left="440"/>
    </w:pPr>
  </w:style>
  <w:style w:type="character" w:styleId="Hipervnculo">
    <w:name w:val="Hyperlink"/>
    <w:basedOn w:val="Fuentedeprrafopredeter"/>
    <w:uiPriority w:val="99"/>
    <w:unhideWhenUsed/>
    <w:rsid w:val="002F5B4D"/>
    <w:rPr>
      <w:color w:val="0563C1" w:themeColor="hyperlink"/>
      <w:u w:val="single"/>
    </w:rPr>
  </w:style>
  <w:style w:type="paragraph" w:styleId="TDC4">
    <w:name w:val="toc 4"/>
    <w:basedOn w:val="Normal"/>
    <w:next w:val="Normal"/>
    <w:autoRedefine/>
    <w:uiPriority w:val="39"/>
    <w:unhideWhenUsed/>
    <w:rsid w:val="002F5B4D"/>
    <w:pPr>
      <w:spacing w:after="100"/>
      <w:ind w:left="720"/>
    </w:pPr>
  </w:style>
  <w:style w:type="paragraph" w:styleId="Encabezado">
    <w:name w:val="header"/>
    <w:basedOn w:val="Normal"/>
    <w:link w:val="EncabezadoCar"/>
    <w:uiPriority w:val="99"/>
    <w:unhideWhenUsed/>
    <w:rsid w:val="0031792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17923"/>
    <w:rPr>
      <w:rFonts w:ascii="Arial" w:hAnsi="Arial"/>
      <w:sz w:val="24"/>
    </w:rPr>
  </w:style>
  <w:style w:type="paragraph" w:styleId="NormalWeb">
    <w:name w:val="Normal (Web)"/>
    <w:basedOn w:val="Normal"/>
    <w:uiPriority w:val="99"/>
    <w:semiHidden/>
    <w:unhideWhenUsed/>
    <w:rsid w:val="00317923"/>
    <w:pPr>
      <w:spacing w:before="100" w:beforeAutospacing="1" w:after="100" w:afterAutospacing="1" w:line="240" w:lineRule="auto"/>
    </w:pPr>
    <w:rPr>
      <w:rFonts w:ascii="Times New Roman" w:eastAsia="Times New Roman" w:hAnsi="Times New Roman" w:cs="Times New Roman"/>
      <w:szCs w:val="24"/>
      <w:lang w:eastAsia="es-ES"/>
    </w:rPr>
  </w:style>
  <w:style w:type="character" w:customStyle="1" w:styleId="sr-av">
    <w:name w:val="sr-av"/>
    <w:basedOn w:val="Fuentedeprrafopredeter"/>
    <w:rsid w:val="00317923"/>
  </w:style>
  <w:style w:type="paragraph" w:customStyle="1" w:styleId="sfout">
    <w:name w:val="sfout"/>
    <w:basedOn w:val="Normal"/>
    <w:rsid w:val="00317923"/>
    <w:pPr>
      <w:spacing w:before="100" w:beforeAutospacing="1" w:after="100" w:afterAutospacing="1" w:line="240" w:lineRule="auto"/>
    </w:pPr>
    <w:rPr>
      <w:rFonts w:ascii="Times New Roman" w:eastAsia="Times New Roman" w:hAnsi="Times New Roman" w:cs="Times New Roman"/>
      <w:szCs w:val="24"/>
      <w:lang w:eastAsia="es-ES"/>
    </w:rPr>
  </w:style>
  <w:style w:type="character" w:styleId="nfasis">
    <w:name w:val="Emphasis"/>
    <w:basedOn w:val="Fuentedeprrafopredeter"/>
    <w:uiPriority w:val="20"/>
    <w:qFormat/>
    <w:rsid w:val="00317923"/>
    <w:rPr>
      <w:i/>
      <w:iCs/>
    </w:rPr>
  </w:style>
  <w:style w:type="character" w:customStyle="1" w:styleId="license">
    <w:name w:val="license"/>
    <w:basedOn w:val="Fuentedeprrafopredeter"/>
    <w:rsid w:val="00317923"/>
  </w:style>
  <w:style w:type="character" w:customStyle="1" w:styleId="sep">
    <w:name w:val="sep"/>
    <w:basedOn w:val="Fuentedeprrafopredeter"/>
    <w:rsid w:val="00317923"/>
  </w:style>
  <w:style w:type="character" w:styleId="Textoennegrita">
    <w:name w:val="Strong"/>
    <w:basedOn w:val="Fuentedeprrafopredeter"/>
    <w:uiPriority w:val="22"/>
    <w:qFormat/>
    <w:rsid w:val="00317923"/>
    <w:rPr>
      <w:b/>
      <w:bCs/>
    </w:rPr>
  </w:style>
  <w:style w:type="paragraph" w:styleId="Ttulo">
    <w:name w:val="Title"/>
    <w:basedOn w:val="Normal"/>
    <w:next w:val="Normal"/>
    <w:link w:val="TtuloCar"/>
    <w:uiPriority w:val="10"/>
    <w:qFormat/>
    <w:rsid w:val="0031792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7923"/>
    <w:rPr>
      <w:rFonts w:asciiTheme="majorHAnsi" w:eastAsiaTheme="majorEastAsia" w:hAnsiTheme="majorHAnsi" w:cstheme="majorBidi"/>
      <w:spacing w:val="-10"/>
      <w:kern w:val="28"/>
      <w:sz w:val="56"/>
      <w:szCs w:val="56"/>
    </w:rPr>
  </w:style>
  <w:style w:type="character" w:styleId="Mencinsinresolver">
    <w:name w:val="Unresolved Mention"/>
    <w:basedOn w:val="Fuentedeprrafopredeter"/>
    <w:uiPriority w:val="99"/>
    <w:semiHidden/>
    <w:unhideWhenUsed/>
    <w:rsid w:val="00DD1BBD"/>
    <w:rPr>
      <w:color w:val="605E5C"/>
      <w:shd w:val="clear" w:color="auto" w:fill="E1DFDD"/>
    </w:rPr>
  </w:style>
  <w:style w:type="paragraph" w:styleId="TtuloTDC">
    <w:name w:val="TOC Heading"/>
    <w:basedOn w:val="Ttulo1"/>
    <w:next w:val="Normal"/>
    <w:uiPriority w:val="39"/>
    <w:unhideWhenUsed/>
    <w:qFormat/>
    <w:rsid w:val="00DC59E8"/>
    <w:pPr>
      <w:outlineLvl w:val="9"/>
    </w:pPr>
    <w:rPr>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363272">
      <w:bodyDiv w:val="1"/>
      <w:marLeft w:val="0"/>
      <w:marRight w:val="0"/>
      <w:marTop w:val="0"/>
      <w:marBottom w:val="0"/>
      <w:divBdr>
        <w:top w:val="none" w:sz="0" w:space="0" w:color="auto"/>
        <w:left w:val="none" w:sz="0" w:space="0" w:color="auto"/>
        <w:bottom w:val="none" w:sz="0" w:space="0" w:color="auto"/>
        <w:right w:val="none" w:sz="0" w:space="0" w:color="auto"/>
      </w:divBdr>
      <w:divsChild>
        <w:div w:id="1848790307">
          <w:marLeft w:val="0"/>
          <w:marRight w:val="0"/>
          <w:marTop w:val="0"/>
          <w:marBottom w:val="0"/>
          <w:divBdr>
            <w:top w:val="none" w:sz="0" w:space="0" w:color="auto"/>
            <w:left w:val="none" w:sz="0" w:space="0" w:color="auto"/>
            <w:bottom w:val="none" w:sz="0" w:space="0" w:color="auto"/>
            <w:right w:val="none" w:sz="0" w:space="0" w:color="auto"/>
          </w:divBdr>
          <w:divsChild>
            <w:div w:id="1938755925">
              <w:marLeft w:val="0"/>
              <w:marRight w:val="0"/>
              <w:marTop w:val="0"/>
              <w:marBottom w:val="0"/>
              <w:divBdr>
                <w:top w:val="none" w:sz="0" w:space="0" w:color="auto"/>
                <w:left w:val="none" w:sz="0" w:space="0" w:color="auto"/>
                <w:bottom w:val="none" w:sz="0" w:space="0" w:color="auto"/>
                <w:right w:val="none" w:sz="0" w:space="0" w:color="auto"/>
              </w:divBdr>
            </w:div>
          </w:divsChild>
        </w:div>
        <w:div w:id="1318723012">
          <w:marLeft w:val="0"/>
          <w:marRight w:val="0"/>
          <w:marTop w:val="0"/>
          <w:marBottom w:val="0"/>
          <w:divBdr>
            <w:top w:val="none" w:sz="0" w:space="0" w:color="auto"/>
            <w:left w:val="none" w:sz="0" w:space="0" w:color="auto"/>
            <w:bottom w:val="none" w:sz="0" w:space="0" w:color="auto"/>
            <w:right w:val="none" w:sz="0" w:space="0" w:color="auto"/>
          </w:divBdr>
          <w:divsChild>
            <w:div w:id="1620523905">
              <w:marLeft w:val="0"/>
              <w:marRight w:val="0"/>
              <w:marTop w:val="0"/>
              <w:marBottom w:val="0"/>
              <w:divBdr>
                <w:top w:val="none" w:sz="0" w:space="0" w:color="auto"/>
                <w:left w:val="none" w:sz="0" w:space="0" w:color="auto"/>
                <w:bottom w:val="none" w:sz="0" w:space="0" w:color="auto"/>
                <w:right w:val="none" w:sz="0" w:space="0" w:color="auto"/>
              </w:divBdr>
              <w:divsChild>
                <w:div w:id="2063407987">
                  <w:marLeft w:val="0"/>
                  <w:marRight w:val="0"/>
                  <w:marTop w:val="120"/>
                  <w:marBottom w:val="120"/>
                  <w:divBdr>
                    <w:top w:val="none" w:sz="0" w:space="0" w:color="auto"/>
                    <w:left w:val="none" w:sz="0" w:space="0" w:color="auto"/>
                    <w:bottom w:val="none" w:sz="0" w:space="0" w:color="auto"/>
                    <w:right w:val="none" w:sz="0" w:space="0" w:color="auto"/>
                  </w:divBdr>
                </w:div>
                <w:div w:id="2143644263">
                  <w:marLeft w:val="0"/>
                  <w:marRight w:val="0"/>
                  <w:marTop w:val="0"/>
                  <w:marBottom w:val="0"/>
                  <w:divBdr>
                    <w:top w:val="none" w:sz="0" w:space="0" w:color="auto"/>
                    <w:left w:val="none" w:sz="0" w:space="0" w:color="auto"/>
                    <w:bottom w:val="none" w:sz="0" w:space="0" w:color="auto"/>
                    <w:right w:val="none" w:sz="0" w:space="0" w:color="auto"/>
                  </w:divBdr>
                  <w:divsChild>
                    <w:div w:id="1326590612">
                      <w:marLeft w:val="240"/>
                      <w:marRight w:val="240"/>
                      <w:marTop w:val="240"/>
                      <w:marBottom w:val="240"/>
                      <w:divBdr>
                        <w:top w:val="single" w:sz="12" w:space="6" w:color="236122"/>
                        <w:left w:val="single" w:sz="12" w:space="12" w:color="236122"/>
                        <w:bottom w:val="single" w:sz="12" w:space="6" w:color="236122"/>
                        <w:right w:val="single" w:sz="12" w:space="12" w:color="236122"/>
                      </w:divBdr>
                      <w:divsChild>
                        <w:div w:id="685794158">
                          <w:marLeft w:val="240"/>
                          <w:marRight w:val="240"/>
                          <w:marTop w:val="240"/>
                          <w:marBottom w:val="240"/>
                          <w:divBdr>
                            <w:top w:val="none" w:sz="0" w:space="0" w:color="auto"/>
                            <w:left w:val="none" w:sz="0" w:space="0" w:color="auto"/>
                            <w:bottom w:val="none" w:sz="0" w:space="0" w:color="auto"/>
                            <w:right w:val="none" w:sz="0" w:space="0" w:color="auto"/>
                          </w:divBdr>
                        </w:div>
                        <w:div w:id="1928465034">
                          <w:marLeft w:val="240"/>
                          <w:marRight w:val="240"/>
                          <w:marTop w:val="240"/>
                          <w:marBottom w:val="240"/>
                          <w:divBdr>
                            <w:top w:val="none" w:sz="0" w:space="0" w:color="auto"/>
                            <w:left w:val="none" w:sz="0" w:space="0" w:color="auto"/>
                            <w:bottom w:val="none" w:sz="0" w:space="0" w:color="auto"/>
                            <w:right w:val="none" w:sz="0" w:space="0" w:color="auto"/>
                          </w:divBdr>
                          <w:divsChild>
                            <w:div w:id="1104379802">
                              <w:marLeft w:val="0"/>
                              <w:marRight w:val="0"/>
                              <w:marTop w:val="0"/>
                              <w:marBottom w:val="0"/>
                              <w:divBdr>
                                <w:top w:val="none" w:sz="0" w:space="0" w:color="auto"/>
                                <w:left w:val="none" w:sz="0" w:space="0" w:color="auto"/>
                                <w:bottom w:val="none" w:sz="0" w:space="0" w:color="auto"/>
                                <w:right w:val="none" w:sz="0" w:space="0" w:color="auto"/>
                              </w:divBdr>
                              <w:divsChild>
                                <w:div w:id="420613843">
                                  <w:marLeft w:val="0"/>
                                  <w:marRight w:val="0"/>
                                  <w:marTop w:val="0"/>
                                  <w:marBottom w:val="0"/>
                                  <w:divBdr>
                                    <w:top w:val="none" w:sz="0" w:space="0" w:color="auto"/>
                                    <w:left w:val="none" w:sz="0" w:space="0" w:color="auto"/>
                                    <w:bottom w:val="none" w:sz="0" w:space="0" w:color="auto"/>
                                    <w:right w:val="none" w:sz="0" w:space="0" w:color="auto"/>
                                  </w:divBdr>
                                  <w:divsChild>
                                    <w:div w:id="699548512">
                                      <w:marLeft w:val="0"/>
                                      <w:marRight w:val="6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4802832">
                  <w:marLeft w:val="0"/>
                  <w:marRight w:val="0"/>
                  <w:marTop w:val="0"/>
                  <w:marBottom w:val="0"/>
                  <w:divBdr>
                    <w:top w:val="none" w:sz="0" w:space="0" w:color="auto"/>
                    <w:left w:val="none" w:sz="0" w:space="0" w:color="auto"/>
                    <w:bottom w:val="none" w:sz="0" w:space="0" w:color="auto"/>
                    <w:right w:val="none" w:sz="0" w:space="0" w:color="auto"/>
                  </w:divBdr>
                  <w:divsChild>
                    <w:div w:id="553274128">
                      <w:marLeft w:val="0"/>
                      <w:marRight w:val="0"/>
                      <w:marTop w:val="0"/>
                      <w:marBottom w:val="0"/>
                      <w:divBdr>
                        <w:top w:val="none" w:sz="0" w:space="0" w:color="auto"/>
                        <w:left w:val="none" w:sz="0" w:space="0" w:color="auto"/>
                        <w:bottom w:val="none" w:sz="0" w:space="0" w:color="auto"/>
                        <w:right w:val="none" w:sz="0" w:space="0" w:color="auto"/>
                      </w:divBdr>
                      <w:divsChild>
                        <w:div w:id="97684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5537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ciberso.com/blog/gobierno-de-la-ciberseguridad/directiva-nis-2-un-marco-coordinado-para-reforzar-la-ciberseguridad-en-europa/"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reativecommons.org/licenses/?lang=es" TargetMode="External"/><Relationship Id="rId5" Type="http://schemas.openxmlformats.org/officeDocument/2006/relationships/webSettings" Target="webSettings.xml"/><Relationship Id="rId15" Type="http://schemas.openxmlformats.org/officeDocument/2006/relationships/hyperlink" Target="https://www.boe.es/boe/dias/2022/05/04/pdfs/BOE-A-2022-7191.pdf" TargetMode="External"/><Relationship Id="rId10" Type="http://schemas.openxmlformats.org/officeDocument/2006/relationships/hyperlink" Target="http://recursostic.educacion.es/bancoimagenes/ArchivosImagenes/DVD06/CD06/8481__43_m_1.jp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ccn-cert.cni.es/en/pdf/guias/series-ccn-stic/800-guia-esquema-nacional-de-seguridad/502-ccn-stic-802-auditoria-del-ens/file.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560305-740A-4ACD-B1CF-E75E629CC8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Pages>
  <Words>1590</Words>
  <Characters>8748</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dc:creator>
  <cp:keywords/>
  <dc:description/>
  <cp:lastModifiedBy>Alberto</cp:lastModifiedBy>
  <cp:revision>17</cp:revision>
  <cp:lastPrinted>2026-03-24T00:51:00Z</cp:lastPrinted>
  <dcterms:created xsi:type="dcterms:W3CDTF">2025-11-20T18:08:00Z</dcterms:created>
  <dcterms:modified xsi:type="dcterms:W3CDTF">2026-03-24T00:51:00Z</dcterms:modified>
</cp:coreProperties>
</file>