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" w:cs="Times" w:eastAsia="Times" w:hAnsi="Times"/>
          <w:sz w:val="28"/>
          <w:szCs w:val="28"/>
          <w:u w:val="single"/>
        </w:rPr>
      </w:pPr>
      <w:r w:rsidDel="00000000" w:rsidR="00000000" w:rsidRPr="00000000">
        <w:rPr>
          <w:rFonts w:ascii="Times" w:cs="Times" w:eastAsia="Times" w:hAnsi="Times"/>
          <w:sz w:val="28"/>
          <w:szCs w:val="28"/>
          <w:u w:val="single"/>
          <w:rtl w:val="0"/>
        </w:rPr>
        <w:t xml:space="preserve">SOC Programming Hardware solutions</w:t>
      </w:r>
    </w:p>
    <w:p w:rsidR="00000000" w:rsidDel="00000000" w:rsidP="00000000" w:rsidRDefault="00000000" w:rsidRPr="00000000" w14:paraId="00000002">
      <w:pPr>
        <w:jc w:val="center"/>
        <w:rPr>
          <w:rFonts w:ascii="Times" w:cs="Times" w:eastAsia="Times" w:hAnsi="Times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u w:val="single"/>
          <w:rtl w:val="0"/>
        </w:rPr>
        <w:t xml:space="preserve">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ab/>
        <w:t xml:space="preserve">The purpose of this document is to document the process of determining possible solutions for programming the QPG6200L SOC, for QORVO_RADIO2_SD2, or future Qorvo Sponsored project</w:t>
      </w:r>
    </w:p>
    <w:p w:rsidR="00000000" w:rsidDel="00000000" w:rsidP="00000000" w:rsidRDefault="00000000" w:rsidRPr="00000000" w14:paraId="00000005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" w:cs="Times" w:eastAsia="Times" w:hAnsi="Times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u w:val="single"/>
          <w:rtl w:val="0"/>
        </w:rPr>
        <w:t xml:space="preserve">Solution 1:</w:t>
      </w:r>
    </w:p>
    <w:p w:rsidR="00000000" w:rsidDel="00000000" w:rsidP="00000000" w:rsidRDefault="00000000" w:rsidRPr="00000000" w14:paraId="00000007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ab/>
        <w:t xml:space="preserve">From the QPG6200L Development kit “</w:t>
      </w:r>
      <w:hyperlink r:id="rId6">
        <w:r w:rsidDel="00000000" w:rsidR="00000000" w:rsidRPr="00000000">
          <w:rPr>
            <w:rFonts w:ascii="Times" w:cs="Times" w:eastAsia="Times" w:hAnsi="Times"/>
            <w:sz w:val="24"/>
            <w:szCs w:val="24"/>
            <w:rtl w:val="0"/>
          </w:rPr>
          <w:t xml:space="preserve">IoT Carrier Board Schematic</w:t>
        </w:r>
      </w:hyperlink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” documents from Qorvo’s webpage we can find the associated Programming 10 pin header and appropriate connections.</w:t>
      </w:r>
    </w:p>
    <w:p w:rsidR="00000000" w:rsidDel="00000000" w:rsidP="00000000" w:rsidRDefault="00000000" w:rsidRPr="00000000" w14:paraId="00000009">
      <w:pPr>
        <w:ind w:left="0" w:firstLine="0"/>
        <w:jc w:val="cente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</w:rPr>
        <w:drawing>
          <wp:inline distB="114300" distT="114300" distL="114300" distR="114300">
            <wp:extent cx="4229100" cy="2085975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085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Figure 1: QPG6200L PROG Header</w:t>
      </w:r>
    </w:p>
    <w:p w:rsidR="00000000" w:rsidDel="00000000" w:rsidP="00000000" w:rsidRDefault="00000000" w:rsidRPr="00000000" w14:paraId="0000000B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ab/>
        <w:t xml:space="preserve">These connections were verified with the QPG6200L connection of the custom made PCB. The following Figures were also referenced from the QPG6200L Datasheet.</w:t>
      </w:r>
    </w:p>
    <w:p w:rsidR="00000000" w:rsidDel="00000000" w:rsidP="00000000" w:rsidRDefault="00000000" w:rsidRPr="00000000" w14:paraId="0000000D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jc w:val="cente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</w:rPr>
        <w:drawing>
          <wp:inline distB="114300" distT="114300" distL="114300" distR="114300">
            <wp:extent cx="4938713" cy="2018224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8713" cy="20182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Figure 2: SPI Programming single table</w:t>
      </w:r>
    </w:p>
    <w:p w:rsidR="00000000" w:rsidDel="00000000" w:rsidP="00000000" w:rsidRDefault="00000000" w:rsidRPr="00000000" w14:paraId="00000010">
      <w:pPr>
        <w:ind w:left="0" w:firstLine="0"/>
        <w:jc w:val="cente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</w:rPr>
        <w:drawing>
          <wp:inline distB="114300" distT="114300" distL="114300" distR="114300">
            <wp:extent cx="4186238" cy="2516318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6238" cy="25163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Figure 3: Debug single table</w:t>
      </w:r>
    </w:p>
    <w:p w:rsidR="00000000" w:rsidDel="00000000" w:rsidP="00000000" w:rsidRDefault="00000000" w:rsidRPr="00000000" w14:paraId="00000012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ab/>
        <w:t xml:space="preserve">The current configuration, although designed for J-Tag, can currently be connected to a SPI connector. An alternative solution utilizing SPI over J-Tag is viable.</w:t>
      </w:r>
    </w:p>
    <w:p w:rsidR="00000000" w:rsidDel="00000000" w:rsidP="00000000" w:rsidRDefault="00000000" w:rsidRPr="00000000" w14:paraId="00000014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ab/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yperlink" Target="https://www.qorvo.com/products/d/da009846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