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30638" cy="13591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135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Campus Santa Fe</w:t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redes de área amplia y servicios distribuidos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aplicaciones avanzadas de ciencias computacionales</w:t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TC3003B.501 y TC3002B.502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de BD e IA</w:t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Benjamín Alejandro Cruz Cervantes - A01747811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Alberto Iván Tamez González - A01026999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Bernardo Alejandro Limón Montes de Oca - A01736575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entrega: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Lunes 09 de Junio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Diseño y estructura de la base de 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Modelo relacional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Rule="auto"/>
            <w:ind w:left="72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Tablas principales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Consultas frecuentes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Justificación del diseño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Inteligencia Artificial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Entrenamiento del modelo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Guardado y uso del modelo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Microservicio IA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Ejecución y pruebas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Integración con backend</w:t>
            </w:r>
          </w:hyperlink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2: Base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describe el diseño, implementación y uso de la base de datos relacional y del modelo de inteligencia artificial utilizados en la plataforma de recomendación de cultivos. Ambos elementos forman el núcleo lógico del sistema: la base de datos permite el almacenamiento y consulta eficiente de usuarios, predicciones y acciones; mientras que el modelo IA proporciona la capacidad de análisis automatizado de datos agrícolas, entregando una recomendación por cada fila del archivo cargado por el usuario.</w:t>
      </w:r>
    </w:p>
    <w:p w:rsidR="00000000" w:rsidDel="00000000" w:rsidP="00000000" w:rsidRDefault="00000000" w:rsidRPr="00000000" w14:paraId="00000028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Diseño y estructura de la base de datos</w:t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Modelo relacional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base de datos fue diseñada en tercera forma normal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3FN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garantizar integridad y evitar redundancia. Se utilizaron claves foráneas para mantener la relación entre usuarios y sus predicciones.</w:t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2.1.1 Tablas principales: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is_admin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predictions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input_source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crop_result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activity_logs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workos_session_id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encrypted_refresh_token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ip_address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user_agent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issued_at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ZONE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refresh_token_expires_at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ZONE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ZONE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ZONE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fk_user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(user_id)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Consultas frecuentes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Estas consultas se utilizan para alimentar las visualizaciones del administrador: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Cultivos más recomendados</w:t>
        <w:br w:type="textWrapping"/>
        <w:t xml:space="preserve">SELECT result, COUNT(*) FROM predictions GROUP BY result;</w:t>
        <w:br w:type="textWrapping"/>
        <w:br w:type="textWrapping"/>
        <w:t xml:space="preserve">-- Acciones más frecuentes</w:t>
        <w:br w:type="textWrapping"/>
        <w:t xml:space="preserve">SELECT action, COUNT(*) FROM activity_logs GROUP BY action;</w:t>
        <w:br w:type="textWrapping"/>
        <w:br w:type="textWrapping"/>
        <w:t xml:space="preserve">-- Actividad por hora</w:t>
        <w:br w:type="textWrapping"/>
        <w:t xml:space="preserve">SELECT date_part('hour', timestamp) AS hora, COUNT(*) FROM activity_logs GROUP BY hora ORDER BY hora;</w:t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Justificación del diseño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usuario puede generar múltiples predicciones sin duplicar datos.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logs permiten rastrear accesos, predicciones y operaciones administrativas.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se almacenan contraseñas (autenticación delegada 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Modularidad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posible migrar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otro host sin romper la lógica del backend.</w:t>
      </w:r>
    </w:p>
    <w:p w:rsidR="00000000" w:rsidDel="00000000" w:rsidP="00000000" w:rsidRDefault="00000000" w:rsidRPr="00000000" w14:paraId="00000039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Inteligencia Artificial</w:t>
      </w:r>
    </w:p>
    <w:p w:rsidR="00000000" w:rsidDel="00000000" w:rsidP="00000000" w:rsidRDefault="00000000" w:rsidRPr="00000000" w14:paraId="0000003A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Entrenamiento del modelo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entrenar el modelo de inteligencia artificial, se optó por un perceptrón multicapa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debido a su versatilidad para problemas de clasificación con datos estructurados. Se evaluaron tres arquitecturas diferentes para determinar la mejor configuración en términos de precisión, velocidad de entrenamiento y generalización.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conjunto de datos utilizado consistía en registros sintéticos generados a partir de condiciones agrícolas comunes: humedad, pH, tipo de suelo, temperatura, etc. Estos fueron transformados 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procesados antes del entrenamiento.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arquitecturas probadas fueron: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1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Entrada → [32] → Salida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Entrada → [64, 32] → Salida (la más efectiva)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3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Entrada → [64, 32, 16] → Salida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configuraciones detalladas en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la arquitectura seleccionada fueron:</w:t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nn.Sequential(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nn.Linear(input_size,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output_size)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el preprocesamiento se normalizaron los valores numéricos, y se transformaron etiquetas categóricas en variables dummy (one-hot encoding). El conjunto de datos se dividió en 80% para entrenamiento y 20% para validación.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Función de pérdida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nn.CrossEntropyLoss()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Optimizador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torch.optim.Adam(lr=0.001)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épocas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50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stopping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activado si la pérdida no mejoraba)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hizo uso de métricas como precisión, recall y matriz de confusión en validación. Se observó un aumento del 6% en precisión al pasar de la arquitectura 1 a la 2. Finalmente, el modelo se exportó en formato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ser usado en producción dentro del microservicio IA. usando un perceptrón multicapa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 variaciones en el número de capas ocultas y neuronas: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1: Entrada → [32] → Salida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2: Entrada → [64, 32] → Salida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3: Entrada → [64, 32, 16] → Salida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mejor precisión se obtuvo con la arquitectura 2. Las configuraciones fueron: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nn.Sequential(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nn.Linear(input_size,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output_size)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sintéticos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formateados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CSV.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División: 80% entrenamiento, 20% validación.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Función de pérdida: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CrossEntropyLoss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Optimizador: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tasa de aprendizaje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widowControl w:val="0"/>
        <w:jc w:val="both"/>
        <w:rPr>
          <w:rFonts w:ascii="Arial" w:cs="Arial" w:eastAsia="Arial" w:hAnsi="Arial"/>
        </w:rPr>
      </w:pPr>
      <w:bookmarkStart w:colFirst="0" w:colLast="0" w:name="_27j7qgk3x9rr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3.2 Estadísticas del entrenamiento (modelos de ejemplo)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Al entrenar modelos mediante inteligencia artificial, es fundamental monitorear su desempeño y evaluar cuál de ellos ofrece los mejores resultados. Para ello, una práctica común es visualizar métricas como 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Log Loss</w:t>
      </w:r>
      <w:r w:rsidDel="00000000" w:rsidR="00000000" w:rsidRPr="00000000">
        <w:rPr>
          <w:rtl w:val="0"/>
        </w:rPr>
        <w:t xml:space="preserve">, que permiten analizar el progreso de cada modelo entrenado y facilitar la identificación del más óptimo. A continuación, se muestra un ejemplo de cómo se despliegan estas métricas en forma gráfica: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indica el porcentaje de predicciones correctas que hace el modelo sobre el total de casos evaluados.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943600" cy="2120900"/>
            <wp:effectExtent b="0" l="0" r="0" t="0"/>
            <wp:wrapTopAndBottom distB="57150" distT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Log Loss</w:t>
      </w:r>
      <w:r w:rsidDel="00000000" w:rsidR="00000000" w:rsidRPr="00000000">
        <w:rPr>
          <w:rtl w:val="0"/>
        </w:rPr>
        <w:t xml:space="preserve">: mide qué tan lejos están las predicciones del modelo respecto a los valores reales donde se intenta minimizar durante el entrenamiento.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943600" cy="2120900"/>
            <wp:effectExtent b="0" l="0" r="0" t="0"/>
            <wp:wrapTopAndBottom distB="57150" distT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Guardado y uso del modelo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modelo entrenado se guardó con:</w:t>
      </w:r>
    </w:p>
    <w:p w:rsidR="00000000" w:rsidDel="00000000" w:rsidP="00000000" w:rsidRDefault="00000000" w:rsidRPr="00000000" w14:paraId="0000005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torch.save(model.state_dict(),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"model.pth"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se carga al iniciar el microservicio: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model.load_state_dict(torch.load(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"model.pth"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eval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archivo principal de inferencia es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crop_recommendation_2.6.py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 cual toma como entrada un archivo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convierte en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normaliza sus valores y retorna un resultado por fila.</w:t>
      </w:r>
    </w:p>
    <w:p w:rsidR="00000000" w:rsidDel="00000000" w:rsidP="00000000" w:rsidRDefault="00000000" w:rsidRPr="00000000" w14:paraId="00000064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3.4 Microservicio IA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modelo fue desplegado como un microservicio en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separado del backend principal. Recibe archivos como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multipart/form-data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@app.post(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"/predict"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predict(file: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UploadFile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File(...)):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Leer y procesar archivo</w:t>
        <w:br w:type="textWrapping"/>
        <w:t xml:space="preserve">    df = pd.read_csv(file.file)</w:t>
        <w:br w:type="textWrapping"/>
        <w:t xml:space="preserve">    # Realizar predicción</w:t>
        <w:br w:type="textWrapping"/>
        <w:t xml:space="preserve">    return model_output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protegerlo del resto de la red, se validan solicitudes mediante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Key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@app.middleware(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check_api_key(request: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request.headers.get(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os.getenv(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"INTERNAL_API_KEY"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HTTPException(status_code=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3.5 Ejecución y pruebas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 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uvicorn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crop_recommendation_2.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:app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--host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con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"http://localhost:1337/predict"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"accept: application/json"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"X-API-Key: clave-secreta"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"Content-Type: multipart/form-data"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"file=@dataset.csv"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3.6 Integración con backend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el backend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hace la conexión al microservicio: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os.getenv(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"INTERNAL_API_KEY"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requests.post(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"http://172.28.69.157:1337/predict"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files=files,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headers=headers)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se guarda en la base de datos y se vincula al usuario autenticado.</w:t>
      </w:r>
    </w:p>
    <w:p w:rsidR="00000000" w:rsidDel="00000000" w:rsidP="00000000" w:rsidRDefault="00000000" w:rsidRPr="00000000" w14:paraId="00000074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Conclusión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base de datos y el sistema de IA constituyen el corazón lógico de la plataforma. El diseño modular permite escalar o mejorar el modelo sin afectar la experiencia del usuario. La base de datos mantiene trazabilidad y control, mientras que el microservicio de predicción aporta valor inmediato con una respuesta rápida y confiable basada en datos estructurados. La separación de responsabilidades y el uso de estándares modernos garantizan la mantenibilidad y seguridad del sistema.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