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B3A6B"/>
          <w:sz w:val="72"/>
          <w:szCs w:val="72"/>
        </w:rPr>
        <w:t xml:space="preserve">DENTIX</w:t>
      </w:r>
    </w:p>
    <w:p>
      <w:pPr>
        <w:spacing w:before="0" w:after="80"/>
        <w:jc w:val="center"/>
      </w:pPr>
      <w:r>
        <w:rPr>
          <w:rFonts w:ascii="Arial" w:cs="Arial" w:eastAsia="Arial" w:hAnsi="Arial"/>
          <w:color w:val="444444"/>
          <w:sz w:val="36"/>
          <w:szCs w:val="36"/>
        </w:rPr>
        <w:t xml:space="preserve">Productos Dentales, S.L.</w:t>
      </w:r>
    </w:p>
    <w:p>
      <w:pPr>
        <w:pBdr>
          <w:bottom w:val="single" w:color="1B3A6B" w:sz="6" w:space="1"/>
        </w:pBdr>
        <w:spacing w:before="120" w:after="120"/>
      </w:pPr>
      <w:r>
        <w:t xml:space="preserve"/>
      </w:r>
    </w:p>
    <w:p>
      <w:pPr>
        <w:spacing w:before="240" w:after="120"/>
        <w:jc w:val="center"/>
      </w:pPr>
      <w:r>
        <w:rPr>
          <w:rFonts w:ascii="Arial" w:cs="Arial" w:eastAsia="Arial" w:hAnsi="Arial"/>
          <w:b/>
          <w:bCs/>
          <w:color w:val="1B3A6B"/>
          <w:sz w:val="40"/>
          <w:szCs w:val="40"/>
        </w:rPr>
        <w:t xml:space="preserve">DOCUMENTO DE REQUISITOS DEL PROYECTO</w:t>
      </w:r>
    </w:p>
    <w:p>
      <w:pPr>
        <w:spacing w:before="0" w:after="120"/>
        <w:jc w:val="center"/>
      </w:pPr>
      <w:r>
        <w:rPr>
          <w:rFonts w:ascii="Arial" w:cs="Arial" w:eastAsia="Arial" w:hAnsi="Arial"/>
          <w:color w:val="555555"/>
          <w:sz w:val="28"/>
          <w:szCs w:val="28"/>
        </w:rPr>
        <w:t xml:space="preserve">Tienda Online con Integración SAGE 50 Cloud</w:t>
      </w:r>
    </w:p>
    <w:p>
      <w:pPr>
        <w:spacing w:before="0" w:after="480"/>
        <w:jc w:val="center"/>
      </w:pPr>
      <w:r>
        <w:rPr>
          <w:rFonts w:ascii="Arial" w:cs="Arial" w:eastAsia="Arial" w:hAnsi="Arial"/>
          <w:i/>
          <w:iCs/>
          <w:color w:val="888888"/>
          <w:sz w:val="22"/>
          <w:szCs w:val="22"/>
        </w:rPr>
        <w:t xml:space="preserve">Versión 3.0 — Fase de Análisis y Diseño</w:t>
      </w:r>
    </w:p>
    <w:p>
      <w:pPr>
        <w:spacing w:before="60" w:after="60"/>
      </w:pPr>
      <w:r>
        <w:t xml:space="preserve"/>
      </w:r>
    </w:p>
    <w:p>
      <w:pPr>
        <w:spacing w:before="60" w:after="60"/>
      </w:pPr>
      <w:r>
        <w:t xml:space="preserve"/>
      </w:r>
    </w:p>
    <w:p>
      <w:pPr>
        <w:jc w:val="center"/>
      </w:pPr>
      <w:r>
        <w:rPr>
          <w:rFonts w:ascii="Arial" w:cs="Arial" w:eastAsia="Arial" w:hAnsi="Arial"/>
          <w:color w:val="888888"/>
          <w:sz w:val="22"/>
          <w:szCs w:val="22"/>
        </w:rPr>
        <w:t xml:space="preserve">Febrero 2026  ·  Documento consolidado en fase de análisis</w:t>
      </w:r>
    </w:p>
    <w:p>
      <w:r>
        <w:br w:type="page"/>
      </w:r>
    </w:p>
    <w:p>
      <w:pPr>
        <w:pStyle w:val="Heading1"/>
        <w:spacing w:before="360" w:after="180"/>
      </w:pPr>
      <w:r>
        <w:rPr>
          <w:rFonts w:ascii="Arial" w:cs="Arial" w:eastAsia="Arial" w:hAnsi="Arial"/>
          <w:b/>
          <w:bCs/>
          <w:color w:val="1B3A6B"/>
          <w:sz w:val="32"/>
          <w:szCs w:val="32"/>
        </w:rPr>
        <w:t xml:space="preserve">Índice</w:t>
      </w:r>
    </w:p>
    <w:p>
      <w:pPr>
        <w:spacing w:before="60" w:after="60"/>
      </w:pPr>
      <w:r>
        <w:rPr>
          <w:rFonts w:ascii="Arial" w:cs="Arial" w:eastAsia="Arial" w:hAnsi="Arial"/>
          <w:sz w:val="22"/>
          <w:szCs w:val="22"/>
        </w:rPr>
        <w:t xml:space="preserve">1.  Contexto y Descripción del Proyecto</w:t>
      </w:r>
    </w:p>
    <w:p>
      <w:pPr>
        <w:spacing w:before="60" w:after="60"/>
      </w:pPr>
      <w:r>
        <w:rPr>
          <w:rFonts w:ascii="Arial" w:cs="Arial" w:eastAsia="Arial" w:hAnsi="Arial"/>
          <w:sz w:val="22"/>
          <w:szCs w:val="22"/>
        </w:rPr>
        <w:t xml:space="preserve">2.  Decisiones Arquitectónicas Adoptadas</w:t>
      </w:r>
    </w:p>
    <w:p>
      <w:pPr>
        <w:spacing w:before="60" w:after="60"/>
      </w:pPr>
      <w:r>
        <w:rPr>
          <w:rFonts w:ascii="Arial" w:cs="Arial" w:eastAsia="Arial" w:hAnsi="Arial"/>
          <w:sz w:val="22"/>
          <w:szCs w:val="22"/>
        </w:rPr>
        <w:t xml:space="preserve">3.  Integración con SAGE 50 Cloud</w:t>
      </w:r>
    </w:p>
    <w:p>
      <w:pPr>
        <w:spacing w:before="60" w:after="60"/>
      </w:pPr>
      <w:r>
        <w:rPr>
          <w:rFonts w:ascii="Arial" w:cs="Arial" w:eastAsia="Arial" w:hAnsi="Arial"/>
          <w:sz w:val="22"/>
          <w:szCs w:val="22"/>
        </w:rPr>
        <w:t xml:space="preserve">4.  Plataforma Web y E-Commerce</w:t>
      </w:r>
    </w:p>
    <w:p>
      <w:pPr>
        <w:spacing w:before="60" w:after="60"/>
      </w:pPr>
      <w:r>
        <w:rPr>
          <w:rFonts w:ascii="Arial" w:cs="Arial" w:eastAsia="Arial" w:hAnsi="Arial"/>
          <w:sz w:val="22"/>
          <w:szCs w:val="22"/>
        </w:rPr>
        <w:t xml:space="preserve">5.  Métodos de Pago</w:t>
      </w:r>
    </w:p>
    <w:p>
      <w:pPr>
        <w:spacing w:before="60" w:after="60"/>
      </w:pPr>
      <w:r>
        <w:rPr>
          <w:rFonts w:ascii="Arial" w:cs="Arial" w:eastAsia="Arial" w:hAnsi="Arial"/>
          <w:sz w:val="22"/>
          <w:szCs w:val="22"/>
        </w:rPr>
        <w:t xml:space="preserve">6.  Seguridad y Cumplimiento Legal</w:t>
      </w:r>
    </w:p>
    <w:p>
      <w:pPr>
        <w:spacing w:before="60" w:after="60"/>
      </w:pPr>
      <w:r>
        <w:rPr>
          <w:rFonts w:ascii="Arial" w:cs="Arial" w:eastAsia="Arial" w:hAnsi="Arial"/>
          <w:sz w:val="22"/>
          <w:szCs w:val="22"/>
        </w:rPr>
        <w:t xml:space="preserve">7.  Gestión de Productos</w:t>
      </w:r>
    </w:p>
    <w:p>
      <w:pPr>
        <w:spacing w:before="60" w:after="60"/>
      </w:pPr>
      <w:r>
        <w:rPr>
          <w:rFonts w:ascii="Arial" w:cs="Arial" w:eastAsia="Arial" w:hAnsi="Arial"/>
          <w:sz w:val="22"/>
          <w:szCs w:val="22"/>
        </w:rPr>
        <w:t xml:space="preserve">8 a 12.  Compra, Usuarios, Logística, Automatización, Reporting</w:t>
      </w:r>
    </w:p>
    <w:p>
      <w:pPr>
        <w:spacing w:before="60" w:after="60"/>
      </w:pPr>
      <w:r>
        <w:rPr>
          <w:rFonts w:ascii="Arial" w:cs="Arial" w:eastAsia="Arial" w:hAnsi="Arial"/>
          <w:sz w:val="22"/>
          <w:szCs w:val="22"/>
        </w:rPr>
        <w:t xml:space="preserve">13. Infraestructura y Despliegue</w:t>
      </w:r>
    </w:p>
    <w:p>
      <w:pPr>
        <w:spacing w:before="60" w:after="60"/>
      </w:pPr>
      <w:r>
        <w:rPr>
          <w:rFonts w:ascii="Arial" w:cs="Arial" w:eastAsia="Arial" w:hAnsi="Arial"/>
          <w:sz w:val="22"/>
          <w:szCs w:val="22"/>
        </w:rPr>
        <w:t xml:space="preserve">14. Flujo de Publicación y Entornos</w:t>
      </w:r>
    </w:p>
    <w:p>
      <w:pPr>
        <w:spacing w:before="60" w:after="60"/>
      </w:pPr>
      <w:r>
        <w:rPr>
          <w:rFonts w:ascii="Arial" w:cs="Arial" w:eastAsia="Arial" w:hAnsi="Arial"/>
          <w:sz w:val="22"/>
          <w:szCs w:val="22"/>
        </w:rPr>
        <w:t xml:space="preserve">15. Estimación de Costes</w:t>
      </w:r>
    </w:p>
    <w:p>
      <w:pPr>
        <w:spacing w:before="60" w:after="60"/>
      </w:pPr>
      <w:r>
        <w:rPr>
          <w:rFonts w:ascii="Arial" w:cs="Arial" w:eastAsia="Arial" w:hAnsi="Arial"/>
          <w:sz w:val="22"/>
          <w:szCs w:val="22"/>
        </w:rPr>
        <w:t xml:space="preserve">16. Reparto de Responsabilidades</w:t>
      </w:r>
    </w:p>
    <w:p>
      <w:pPr>
        <w:spacing w:before="60" w:after="60"/>
      </w:pPr>
      <w:r>
        <w:rPr>
          <w:rFonts w:ascii="Arial" w:cs="Arial" w:eastAsia="Arial" w:hAnsi="Arial"/>
          <w:sz w:val="22"/>
          <w:szCs w:val="22"/>
        </w:rPr>
        <w:t xml:space="preserve">17. Plan de Desarrollo por Fases</w:t>
      </w:r>
    </w:p>
    <w:p>
      <w:pPr>
        <w:spacing w:before="60" w:after="60"/>
      </w:pPr>
      <w:r>
        <w:rPr>
          <w:rFonts w:ascii="Arial" w:cs="Arial" w:eastAsia="Arial" w:hAnsi="Arial"/>
          <w:sz w:val="22"/>
          <w:szCs w:val="22"/>
        </w:rPr>
        <w:t xml:space="preserve">18. Guía de Estilo Visual — Diseño Validado</w:t>
      </w:r>
    </w:p>
    <w:p>
      <w:pPr>
        <w:spacing w:before="60" w:after="60"/>
      </w:pPr>
      <w:r>
        <w:rPr>
          <w:rFonts w:ascii="Arial" w:cs="Arial" w:eastAsia="Arial" w:hAnsi="Arial"/>
          <w:sz w:val="22"/>
          <w:szCs w:val="22"/>
        </w:rPr>
        <w:t xml:space="preserve">19. Decisiones Pendientes</w:t>
      </w:r>
    </w:p>
    <w:p>
      <w:r>
        <w:br w:type="page"/>
      </w:r>
    </w:p>
    <w:p>
      <w:pPr>
        <w:pStyle w:val="Heading1"/>
        <w:spacing w:before="360" w:after="180"/>
      </w:pPr>
      <w:r>
        <w:rPr>
          <w:rFonts w:ascii="Arial" w:cs="Arial" w:eastAsia="Arial" w:hAnsi="Arial"/>
          <w:b/>
          <w:bCs/>
          <w:color w:val="1B3A6B"/>
          <w:sz w:val="32"/>
          <w:szCs w:val="32"/>
        </w:rPr>
        <w:t xml:space="preserve">1. Contexto y Descripción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Empresa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Dentix Productos Dentales, S.L.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Sector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Instrumental y material odontológico profesional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Mercado objetivo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Clínicas dentales y profesionales del sector en España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Número de referencias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SKUs de instrumental odontológico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Tipo de venta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exclusivo — acceso solo para profesionales acreditados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Sistema ERP maestro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SAGE 50 Cloud (sistema maestro y única fuente de verdad)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actual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y Diseño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Fecha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Febrero 2026</w:t>
            </w:r>
          </w:p>
        </w:tc>
      </w:tr>
    </w:tbl>
    <w:p>
      <w:r>
        <w:br w:type="page"/>
      </w:r>
    </w:p>
    <w:p>
      <w:pPr>
        <w:pStyle w:val="Heading1"/>
        <w:spacing w:before="360" w:after="180"/>
      </w:pPr>
      <w:r>
        <w:rPr>
          <w:rFonts w:ascii="Arial" w:cs="Arial" w:eastAsia="Arial" w:hAnsi="Arial"/>
          <w:b/>
          <w:bCs/>
          <w:color w:val="1B3A6B"/>
          <w:sz w:val="32"/>
          <w:szCs w:val="32"/>
        </w:rPr>
        <w:t xml:space="preserve">2. Decisiones Arquitectónicas Adoptadas</w:t>
      </w:r>
    </w:p>
    <w:p>
      <w:pPr>
        <w:spacing w:before="60" w:after="60"/>
      </w:pPr>
      <w:r>
        <w:rPr>
          <w:rFonts w:ascii="Arial" w:cs="Arial" w:eastAsia="Arial" w:hAnsi="Arial"/>
          <w:sz w:val="22"/>
          <w:szCs w:val="22"/>
        </w:rPr>
        <w:t xml:space="preserve">Las siguientes decisiones han sido evaluadas, comparadas y confirmadas durante la fase de análisis: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c>
          <w:tcPr>
            <w:tcW w:type="dxa" w:w="4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Opción elegida</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Plataforma e-commerce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Conector SAGE 50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ERP maestro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SAGE 50 Cloud (unidireccional al inicio)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Pasarela de pago principal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GetNet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Pasarelas adicionales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PayPal, Bizum, Google Pay, Apple Pay, Klarna</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Dinahosting (servidores en Madrid, soporte 24/7)</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Dominio (.es o .com)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contratar en Dinahosting o Raiola Networks</w:t>
            </w:r>
          </w:p>
        </w:tc>
        <w:tc>
          <w:tcPr>
            <w:tcW w:type="dxa" w:w="20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 En estudio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Repositorio de código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 DentixWebCLD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Despliegue automático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con FTP Deploy</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Entorno de pruebas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InstaWP conectado a rama pruebas de GitHub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Diseño visual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Paleta carbones + rojo corporativo — index1.html validado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Comunicación SAGE 50 ↔ WooCommerce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Unidireccional inicial. Arquitectura preparada para bidireccional</w:t>
            </w:r>
          </w:p>
        </w:tc>
        <w:tc>
          <w:tcPr>
            <w:tcW w:type="dxa" w:w="20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 En estudio</w:t>
            </w:r>
          </w:p>
        </w:tc>
      </w:tr>
    </w:tbl>
    <w:p>
      <w:pPr>
        <w:spacing w:before="60" w:after="60"/>
      </w:pPr>
      <w:r>
        <w:t xml:space="preserve"/>
      </w:r>
    </w:p>
    <w:p>
      <w:pPr>
        <w:spacing w:before="60" w:after="60"/>
      </w:pPr>
      <w:r>
        <w:rPr>
          <w:rFonts w:ascii="Arial" w:cs="Arial" w:eastAsia="Arial" w:hAnsi="Arial"/>
          <w:i/>
          <w:iCs/>
          <w:color w:val="886600"/>
          <w:sz w:val="21"/>
          <w:szCs w:val="21"/>
        </w:rPr>
        <w:t xml:space="preserve">⚠️ NOTA: PrestaShop y Shopify fueron evaluados y descartados en favor de WooCommerce.</w:t>
      </w:r>
    </w:p>
    <w:p>
      <w:pPr>
        <w:spacing w:before="60" w:after="60"/>
      </w:pPr>
      <w:r>
        <w:rPr>
          <w:rFonts w:ascii="Arial" w:cs="Arial" w:eastAsia="Arial" w:hAnsi="Arial"/>
          <w:i/>
          <w:iCs/>
          <w:color w:val="886600"/>
          <w:sz w:val="21"/>
          <w:szCs w:val="21"/>
        </w:rPr>
        <w:t xml:space="preserve">⚠️ NOTA: Dinahosting elegido sobre Raiola Networks: prueba gratuita, NVMe, PHP 8.5, WAF y backups incluidos, IP española.</w:t>
      </w:r>
    </w:p>
    <w:p>
      <w:r>
        <w:br w:type="page"/>
      </w:r>
    </w:p>
    <w:p>
      <w:pPr>
        <w:pStyle w:val="Heading1"/>
        <w:spacing w:before="360" w:after="180"/>
      </w:pPr>
      <w:r>
        <w:rPr>
          <w:rFonts w:ascii="Arial" w:cs="Arial" w:eastAsia="Arial" w:hAnsi="Arial"/>
          <w:b/>
          <w:bCs/>
          <w:color w:val="1B3A6B"/>
          <w:sz w:val="32"/>
          <w:szCs w:val="32"/>
        </w:rPr>
        <w:t xml:space="preserve">3. Integración con SAGE 50 Cloud</w:t>
      </w:r>
    </w:p>
    <w:p>
      <w:pPr>
        <w:spacing w:before="60" w:after="60"/>
      </w:pPr>
      <w:r>
        <w:rPr>
          <w:rFonts w:ascii="Arial" w:cs="Arial" w:eastAsia="Arial" w:hAnsi="Arial"/>
          <w:b/>
          <w:bCs/>
          <w:sz w:val="22"/>
          <w:szCs w:val="22"/>
        </w:rPr>
        <w:t xml:space="preserve">SAGE 50 Cloud es el sistema maestro y única fuente de verdad. Los cambios de catálogo se realizan exclusivamente en SAGE 50.</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Sincronización de catálogo (SKU, precios, imágenes)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 HUB — SAGE 50 →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Actualización stock en tiempo real o por intervalos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 cron job vía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Pedidos web → albaranes/facturas en SAGE 50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Orders → SAGE vía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 y datos fiscales sincronizados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Bidireccional vía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Movimientos contables registrados en SAGE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Automático por conector</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y alertas de errores de integración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de logs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Sincronización bidireccional activable en el futuro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en Conecta HUB sin cambios de código</w:t>
            </w:r>
          </w:p>
        </w:tc>
        <w:tc>
          <w:tcPr>
            <w:tcW w:type="dxa" w:w="20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 En estudio</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4. Plataforma Web y E-Commerce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Tecnología / Proveedor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Plataforma e-commerce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 WooCommerce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Lenguaje servidor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8.5 (Dinahosting)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8.0+ con discos NVMe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Caché y rendimiento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Varnish Cache (Dinahosting) + WP Rocket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CDN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(gratuito)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Seguridad servidor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WAF + antivirus + antispam (Dinahosting)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Tema visual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Astra Pro (ultraligero, optimizado WooCommerce)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Optimización imágenes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ShortPixel (WebP automático)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Base de datos pedidos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HPOS activado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Máximo de plugins activos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plugins auditados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Panel de administración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www.dentix.es/wp-admin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Objetivo rendimiento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puntos Google PageSpeed móvil y escritorio</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5. Métodos de Pago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Proveedor / 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GetNet (pasarela principal)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oficial GetNet para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Tarjeta Visa / Mastercard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Pay / Apple Pay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PayPal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PayPal Payments oficial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Bizum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(Bizum integrado en Stripe ES)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Klarna / Sofort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Klarna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Transferencia bancaria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American Express / iDEAL / Adyen / Square / Contra entrega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Descartados</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Descartado</w:t>
            </w:r>
          </w:p>
        </w:tc>
      </w:tr>
    </w:tbl>
    <w:p>
      <w:r>
        <w:br w:type="page"/>
      </w:r>
    </w:p>
    <w:p>
      <w:pPr>
        <w:pStyle w:val="Heading1"/>
        <w:spacing w:before="360" w:after="180"/>
      </w:pPr>
      <w:r>
        <w:rPr>
          <w:rFonts w:ascii="Arial" w:cs="Arial" w:eastAsia="Arial" w:hAnsi="Arial"/>
          <w:b/>
          <w:bCs/>
          <w:color w:val="1B3A6B"/>
          <w:sz w:val="32"/>
          <w:szCs w:val="32"/>
        </w:rPr>
        <w:t xml:space="preserve">6. Seguridad y Cumplimiento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SSL/TLS (HTTPS)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Encrypt preinstalado en Dinahosting</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 DSS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 GetNet gestionan PCI DSS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WAF y protección servidor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Incluido en Dinahosting VPS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GDPR / RGPD, cookies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Complianz o CookieYes plugin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Textos legales (aviso, privacidad, condiciones, devoluciones)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Páginas configurables +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Aceptación términos en checkout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Checkbox obligatorio 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ReCAPTCHA / 2FA admin / Backups diarios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Plugins + backups incluidos Dinahosting</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7. Gestión de Productos</w:t>
      </w:r>
    </w:p>
    <w:p>
      <w:pPr>
        <w:spacing w:before="60" w:after="60"/>
      </w:pPr>
      <w:r>
        <w:rPr>
          <w:rFonts w:ascii="Arial" w:cs="Arial" w:eastAsia="Arial" w:hAnsi="Arial"/>
          <w:i/>
          <w:iCs/>
          <w:color w:val="886600"/>
          <w:sz w:val="21"/>
          <w:szCs w:val="21"/>
        </w:rPr>
        <w:t xml:space="preserve">⚠️ NOTA: Catálogo gestionado exclusivamente en SAGE 50 Cloud. WooCommerce recibe datos automáticamente vía Conecta HUB.</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SKUs instrumental odontológico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Dinahosting NVMe + HPOS + Varnish Cache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Categorías, atributos y variantes de producto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 + sincronización SAGE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Imágenes optimizadas (WebP)</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ShortPixel plugin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Búsqueda avanzada por referencia y SKU</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FiboSearch o WooCommerce Product Search</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amigable por producto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Yoast SEO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Precios, descuentos y tarifas B2B</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SAGE 50 Cloud como origen + plugin tarifas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Cupones y códigos de descuento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8 a 12. Compra · Usuarios · Logística · Automatización ·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1 página + carrito persistente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One Page Checkout + nativo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 NIF/CIF obligatorio B2B</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campos personalizados checkout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Área privada Mi Cuenta, historial, direcciones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Sincronización clientes con SAGE 50 Cloud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Vía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Transportistas: SEUR, MRW, DHL, Correos, UPS, FedEx</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Packlink PRO o ShipStation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Tracking en tiempo real para clientes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Shipment Tracking</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Emails automáticos con diseño corporativo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 + FluentCRM/Mailpoet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Analytics 4 + WooCommerce Analytics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MonsterInsights o GA4 nativo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URLs amigables, meta, Schema.org, Open Graph</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Yoast SEO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bl>
    <w:p>
      <w:r>
        <w:br w:type="page"/>
      </w:r>
    </w:p>
    <w:p>
      <w:pPr>
        <w:pStyle w:val="Heading1"/>
        <w:spacing w:before="360" w:after="180"/>
      </w:pPr>
      <w:r>
        <w:rPr>
          <w:rFonts w:ascii="Arial" w:cs="Arial" w:eastAsia="Arial" w:hAnsi="Arial"/>
          <w:b/>
          <w:bCs/>
          <w:color w:val="1B3A6B"/>
          <w:sz w:val="32"/>
          <w:szCs w:val="32"/>
        </w:rPr>
        <w:t xml:space="preserve">13. Infraestructura y Despliegue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Hosting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Dinahosting (servidores propios en Madrid, +20 años experiencia)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Por qué Dinahosting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Prueba gratuita sin límite, NVMe, PHP 8.5, WAF incluido, IP española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Caché servidor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Varnish Cache (Dinahosting) + WP Rocket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SSL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Encrypt gratuito preinstalado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Backups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Diarios automáticos incluidos en VPS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Soporte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Telefónico y ticket 24/7 en español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Dominio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Pendiente confirmar en Dinahosting o Raiola Networks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 DentixWebCLD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Despliegue automático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FTP Deploy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Entorno staging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InstaWP — rama pruebas de GitHub (gratuito)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Entorno producción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Dinahosting — rama produccion de GitHub</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14. Flujo de Publicación y Entornos</w:t>
      </w:r>
    </w:p>
    <w:p>
      <w:pPr>
        <w:spacing w:before="60" w:after="60"/>
      </w:pPr>
      <w:r>
        <w:rPr>
          <w:rFonts w:ascii="Arial" w:cs="Arial" w:eastAsia="Arial" w:hAnsi="Arial"/>
          <w:b/>
          <w:bCs/>
          <w:sz w:val="22"/>
          <w:szCs w:val="22"/>
        </w:rPr>
        <w:t xml:space="preserve">Ningún cambio llega a la web pública sin la aprobación previa del cliente.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Entorno</w:t>
            </w:r>
          </w:p>
        </w:tc>
        <w:tc>
          <w:tcPr>
            <w:tcW w:type="dxa" w:w="3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URL / Plataforma</w:t>
            </w:r>
          </w:p>
        </w:tc>
        <w:tc>
          <w:tcPr>
            <w:tcW w:type="dxa" w:w="3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Pruebas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InstaWP (rama pruebas GitHub)</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Validar cambios antes de publicar. GRATIS.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Producción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www.dentix.es (VPS Dinahosting)</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real visible para clientes</w:t>
            </w:r>
          </w:p>
        </w:tc>
      </w:tr>
    </w:tbl>
    <w:p>
      <w:pPr>
        <w:spacing w:before="60" w:after="60"/>
      </w:pPr>
      <w:r>
        <w:t xml:space="preserve"/>
      </w:r>
    </w:p>
    <w:p>
      <w:pPr>
        <w:spacing w:before="60" w:after="60"/>
      </w:pPr>
      <w:r>
        <w:rPr>
          <w:rFonts w:ascii="Arial" w:cs="Arial" w:eastAsia="Arial" w:hAnsi="Arial"/>
          <w:sz w:val="22"/>
          <w:szCs w:val="22"/>
        </w:rPr>
        <w:t xml:space="preserve">Pasos: (1) Push a pruebas → InstaWP actualiza → cliente valida → merge a producción → VPS actualiza automáticamente.</w:t>
      </w:r>
    </w:p>
    <w:p>
      <w:pPr>
        <w:spacing w:before="60" w:after="60"/>
      </w:pPr>
      <w:r>
        <w:t xml:space="preserve"/>
      </w:r>
    </w:p>
    <w:p>
      <w:pPr>
        <w:pStyle w:val="Heading1"/>
        <w:spacing w:before="360" w:after="180"/>
      </w:pPr>
      <w:r>
        <w:rPr>
          <w:rFonts w:ascii="Arial" w:cs="Arial" w:eastAsia="Arial" w:hAnsi="Arial"/>
          <w:b/>
          <w:bCs/>
          <w:color w:val="1B3A6B"/>
          <w:sz w:val="32"/>
          <w:szCs w:val="32"/>
        </w:rPr>
        <w:t xml:space="preserve">15. Estimación de Costes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26"/>
        <w:gridCol w:w="1800"/>
        <w:gridCol w:w="16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2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Proveedor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Coste estimado</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Periodicidad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VPS WooCommerce (NVMe, PHP 8.5, Varnish)</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Dinahosting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 66 €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Dominio (.es o .com)</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Dinahosting / Raiola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15 €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Año</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SSL + WAF + backups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Incluido Dinahosting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Conector SAGE 50 Cloud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 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 100 €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Tema Astra Pro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Año</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WP Rocket (caché avanzada)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 Rocket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Año</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ShortPixel (WebP)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ShortPixel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GetNet / Stripe / PayPal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Pasarelas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por transacción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 venta</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InstaWP (staging) + GitHub</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Gratuito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r>
    </w:tbl>
    <w:p>
      <w:pPr>
        <w:spacing w:before="60" w:after="60"/>
      </w:pPr>
      <w:r>
        <w:t xml:space="preserve"/>
      </w:r>
    </w:p>
    <w:p>
      <w:pPr>
        <w:spacing w:before="60" w:after="60"/>
      </w:pPr>
      <w:r>
        <w:rPr>
          <w:rFonts w:ascii="Arial" w:cs="Arial" w:eastAsia="Arial" w:hAnsi="Arial"/>
          <w:b/>
          <w:bCs/>
          <w:sz w:val="22"/>
          <w:szCs w:val="22"/>
        </w:rPr>
        <w:t xml:space="preserve">Coste mensual fijo estimado: entre 90 y 165 €/mes (sin comisiones de pago, que dependen del volumen de ventas).</w:t>
      </w:r>
    </w:p>
    <w:p>
      <w:pPr>
        <w:spacing w:before="60" w:after="60"/>
      </w:pPr>
      <w:r>
        <w:t xml:space="preserve"/>
      </w:r>
    </w:p>
    <w:p>
      <w:pPr>
        <w:pStyle w:val="Heading1"/>
        <w:spacing w:before="360" w:after="180"/>
      </w:pPr>
      <w:r>
        <w:rPr>
          <w:rFonts w:ascii="Arial" w:cs="Arial" w:eastAsia="Arial" w:hAnsi="Arial"/>
          <w:b/>
          <w:bCs/>
          <w:color w:val="1B3A6B"/>
          <w:sz w:val="32"/>
          <w:szCs w:val="32"/>
        </w:rPr>
        <w:t xml:space="preserve">16. Reparto de Responsabilidades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26"/>
        <w:gridCol w:w="200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Código, configuración y despliegue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de desarrollo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Contratar VPS y dominio en Dinahosting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Contratar Conecta HUB (conector SAGE)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Instalar GitHub Desktop + flujo de push</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Validar staging y aprobar publicación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diaria (pedidos, clientes) wp-admin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Actualización de catálogo y precios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Dentix en SAGE 50 Cloud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SAGE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Mantenimiento técnico del servidor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Dinahosting (soporte incluido)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spacing w:before="360" w:after="180"/>
      </w:pPr>
      <w:r>
        <w:rPr>
          <w:rFonts w:ascii="Arial" w:cs="Arial" w:eastAsia="Arial" w:hAnsi="Arial"/>
          <w:b/>
          <w:bCs/>
          <w:color w:val="1B3A6B"/>
          <w:sz w:val="32"/>
          <w:szCs w:val="32"/>
        </w:rPr>
        <w:t xml:space="preserve">17. Plan de Desarrollo por Fases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726"/>
        <w:gridCol w:w="2200"/>
      </w:tblGrid>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7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Infraestructura</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Dinahosting, dominio, WordPress + WooCommerce, GitHub, GitHub Actions, InstaWP.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base en staging</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Diseño y tema</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Implementación del diseño validado (index1.html), identidad visual Dentix, responsivo.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con diseño aprobado</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Estructura de categorías, fichas de producto, SEO, buscador avanzado.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funcional</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Integración SAGE 50</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Conecta HUB, mapeo de campos, pruebas sincronización.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Sincronización activa</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Pagos y legal</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GetNet, Stripe, PayPal, Bizum, textos legales, RGPD, cookies.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Tienda operativa</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Logística y usuarios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Transportistas, tracking, registro clientes, área privada.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Experiencia completa</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Producción</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Optimización PageSpeed, seguridad, backups y publicación en www.dentix.es.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pública en vivo</w:t>
            </w:r>
          </w:p>
        </w:tc>
      </w:tr>
    </w:tbl>
    <w:p>
      <w:r>
        <w:br w:type="page"/>
      </w:r>
    </w:p>
    <w:p>
      <w:pPr>
        <w:pStyle w:val="Heading1"/>
        <w:spacing w:before="360" w:after="180"/>
      </w:pPr>
      <w:r>
        <w:rPr>
          <w:rFonts w:ascii="Arial" w:cs="Arial" w:eastAsia="Arial" w:hAnsi="Arial"/>
          <w:b/>
          <w:bCs/>
          <w:color w:val="1B3A6B"/>
          <w:sz w:val="32"/>
          <w:szCs w:val="32"/>
        </w:rPr>
        <w:t xml:space="preserve">18. Guía de Estilo Visual — Diseño Validado</w:t>
      </w:r>
    </w:p>
    <w:p>
      <w:pPr>
        <w:spacing w:before="60" w:after="60"/>
      </w:pPr>
      <w:r>
        <w:rPr>
          <w:rFonts w:ascii="Arial" w:cs="Arial" w:eastAsia="Arial" w:hAnsi="Arial"/>
          <w:sz w:val="22"/>
          <w:szCs w:val="22"/>
        </w:rPr>
        <w:t xml:space="preserve">Esta sección es la referencia oficial de identidad visual para todo el proyecto. El diseño base queda definido por el archivo index1.html validado por el cliente. Cualquier pantalla adicional debe seguir estos estándares.</w:t>
      </w:r>
    </w:p>
    <w:p>
      <w:pPr>
        <w:spacing w:before="60" w:after="60"/>
      </w:pPr>
      <w:r>
        <w:t xml:space="preserve"/>
      </w:r>
    </w:p>
    <w:p>
      <w:pPr>
        <w:pStyle w:val="Heading2"/>
        <w:spacing w:before="240" w:after="120"/>
      </w:pPr>
      <w:r>
        <w:rPr>
          <w:rFonts w:ascii="Arial" w:cs="Arial" w:eastAsia="Arial" w:hAnsi="Arial"/>
          <w:b/>
          <w:bCs/>
          <w:color w:val="1B3A6B"/>
          <w:sz w:val="26"/>
          <w:szCs w:val="26"/>
        </w:rPr>
        <w:t xml:space="preserve">18.1 Logo y Emblema</w:t>
      </w:r>
    </w:p>
    <w:p>
      <w:pPr>
        <w:spacing w:before="60" w:after="60"/>
      </w:pPr>
      <w:r>
        <w:rPr>
          <w:rFonts w:ascii="Arial" w:cs="Arial" w:eastAsia="Arial" w:hAnsi="Arial"/>
          <w:sz w:val="22"/>
          <w:szCs w:val="22"/>
        </w:rPr>
        <w:t xml:space="preserve">El logo Dentix consta de tres elementos, siempre sobre fondo blanco en el header:</w:t>
      </w:r>
    </w:p>
    <w:p>
      <w:pPr>
        <w:spacing w:before="60" w:after="60"/>
      </w:pPr>
      <w:r>
        <w:rPr>
          <w:rFonts w:ascii="Arial" w:cs="Arial" w:eastAsia="Arial" w:hAnsi="Arial"/>
          <w:sz w:val="22"/>
          <w:szCs w:val="22"/>
        </w:rPr>
        <w:t xml:space="preserve">1. Emblema SVG: círculo grande (#1A1A1A) + círculo interior (#2D2D2D) creando efecto luna creciente + punto rojo (#C0392B) superpuesto abajo-izquierda.</w:t>
      </w:r>
    </w:p>
    <w:p>
      <w:pPr>
        <w:spacing w:before="60" w:after="60"/>
      </w:pPr>
      <w:r>
        <w:rPr>
          <w:rFonts w:ascii="Arial" w:cs="Arial" w:eastAsia="Arial" w:hAnsi="Arial"/>
          <w:sz w:val="22"/>
          <w:szCs w:val="22"/>
        </w:rPr>
        <w:t xml:space="preserve">2. Nombre: dentix en DM Sans weight 300, tamaño 30px, letter-spacing 2px, color #1A1A1A.</w:t>
      </w:r>
    </w:p>
    <w:p>
      <w:pPr>
        <w:spacing w:before="60" w:after="60"/>
      </w:pPr>
      <w:r>
        <w:rPr>
          <w:rFonts w:ascii="Arial" w:cs="Arial" w:eastAsia="Arial" w:hAnsi="Arial"/>
          <w:sz w:val="22"/>
          <w:szCs w:val="22"/>
        </w:rPr>
        <w:t xml:space="preserve">3. Dos líneas horizontales finas (#1A1A1A) + subtítulo en 9px uppercase color #9A9898.</w:t>
      </w:r>
    </w:p>
    <w:p>
      <w:pPr>
        <w:spacing w:before="60" w:after="60"/>
      </w:pPr>
      <w:r>
        <w:rPr>
          <w:rFonts w:ascii="Arial" w:cs="Arial" w:eastAsia="Arial" w:hAnsi="Arial"/>
          <w:sz w:val="22"/>
          <w:szCs w:val="22"/>
        </w:rPr>
        <w:t xml:space="preserve">En el footer se reproduce solo el nombre dentix en Playfair Display serif, color blanco.</w:t>
      </w:r>
    </w:p>
    <w:p>
      <w:pPr>
        <w:spacing w:before="60" w:after="60"/>
      </w:pPr>
      <w:r>
        <w:t xml:space="preserve"/>
      </w:r>
    </w:p>
    <w:p>
      <w:pPr>
        <w:pStyle w:val="Heading2"/>
        <w:spacing w:before="240" w:after="120"/>
      </w:pPr>
      <w:r>
        <w:rPr>
          <w:rFonts w:ascii="Arial" w:cs="Arial" w:eastAsia="Arial" w:hAnsi="Arial"/>
          <w:b/>
          <w:bCs/>
          <w:color w:val="1B3A6B"/>
          <w:sz w:val="26"/>
          <w:szCs w:val="26"/>
        </w:rPr>
        <w:t xml:space="preserve">18.2 Paleta de Colores Oficial</w:t>
      </w:r>
    </w:p>
    <w:p>
      <w:pPr>
        <w:spacing w:before="60" w:after="60"/>
      </w:pPr>
      <w:r>
        <w:rPr>
          <w:rFonts w:ascii="Arial" w:cs="Arial" w:eastAsia="Arial" w:hAnsi="Arial"/>
          <w:sz w:val="22"/>
          <w:szCs w:val="22"/>
        </w:rPr>
        <w:t xml:space="preserve">Paleta extraida del logo original Dentix. La gama antigua --navy (azul marino) ha sido sustituida por la gama --dark-* de grises carbon en el diseno validado.</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626"/>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Muestra</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Variable CSS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Valor hex</w:t>
            </w:r>
          </w:p>
        </w:tc>
        <w:tc>
          <w:tcPr>
            <w:tcW w:type="dxa" w:w="3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1400"/>
            <w:tcBorders>
              <w:top w:val="single" w:color="CCCCCC" w:sz="1"/>
              <w:left w:val="single" w:color="CCCCCC" w:sz="1"/>
              <w:bottom w:val="single" w:color="CCCCCC" w:sz="1"/>
              <w:right w:val="single" w:color="CCCCCC" w:sz="1"/>
            </w:tcBorders>
            <w:shd w:fill="1A1A1A"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--ink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#1A1A1A</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Negro puro — emblema logo, lineas decorativas</w:t>
            </w:r>
          </w:p>
        </w:tc>
      </w:tr>
      <w:tr>
        <w:tc>
          <w:tcPr>
            <w:tcW w:type="dxa" w:w="1400"/>
            <w:tcBorders>
              <w:top w:val="single" w:color="CCCCCC" w:sz="1"/>
              <w:left w:val="single" w:color="CCCCCC" w:sz="1"/>
              <w:bottom w:val="single" w:color="CCCCCC" w:sz="1"/>
              <w:right w:val="single" w:color="CCCCCC" w:sz="1"/>
            </w:tcBorders>
            <w:shd w:fill="2D2D2D"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--dark-main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#2D2D2D</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Carbon principal — nav, footer, botones, textos</w:t>
            </w:r>
          </w:p>
        </w:tc>
      </w:tr>
      <w:tr>
        <w:tc>
          <w:tcPr>
            <w:tcW w:type="dxa" w:w="1400"/>
            <w:tcBorders>
              <w:top w:val="single" w:color="CCCCCC" w:sz="1"/>
              <w:left w:val="single" w:color="CCCCCC" w:sz="1"/>
              <w:bottom w:val="single" w:color="CCCCCC" w:sz="1"/>
              <w:right w:val="single" w:color="CCCCCC" w:sz="1"/>
            </w:tcBorders>
            <w:shd w:fill="3A3A3A"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--dark-soft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#3A3A3A</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Carbon suave — hero, trust bar, hover fondos oscuros</w:t>
            </w:r>
          </w:p>
        </w:tc>
      </w:tr>
      <w:tr>
        <w:tc>
          <w:tcPr>
            <w:tcW w:type="dxa" w:w="1400"/>
            <w:tcBorders>
              <w:top w:val="single" w:color="CCCCCC" w:sz="1"/>
              <w:left w:val="single" w:color="CCCCCC" w:sz="1"/>
              <w:bottom w:val="single" w:color="CCCCCC" w:sz="1"/>
              <w:right w:val="single" w:color="CCCCCC" w:sz="1"/>
            </w:tcBorders>
            <w:shd w:fill="9A9898"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--gray-logo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#9A9898</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Gris logo — subtitulo logo, titulos sidebar, refs producto</w:t>
            </w:r>
          </w:p>
        </w:tc>
      </w:tr>
      <w:tr>
        <w:tc>
          <w:tcPr>
            <w:tcW w:type="dxa" w:w="1400"/>
            <w:tcBorders>
              <w:top w:val="single" w:color="CCCCCC" w:sz="1"/>
              <w:left w:val="single" w:color="CCCCCC" w:sz="1"/>
              <w:bottom w:val="single" w:color="CCCCCC" w:sz="1"/>
              <w:right w:val="single" w:color="CCCCCC" w:sz="1"/>
            </w:tcBorders>
            <w:shd w:fill="6B6868"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--gray-mid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#6B6868</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Gris medio — textos secundarios, iconos header</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--gray-light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#F2F2F2</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Gris muy claro — fondos imagenes producto, inputs, badges</w:t>
            </w:r>
          </w:p>
        </w:tc>
      </w:tr>
      <w:tr>
        <w:tc>
          <w:tcPr>
            <w:tcW w:type="dxa" w:w="1400"/>
            <w:tcBorders>
              <w:top w:val="single" w:color="CCCCCC" w:sz="1"/>
              <w:left w:val="single" w:color="CCCCCC" w:sz="1"/>
              <w:bottom w:val="single" w:color="CCCCCC" w:sz="1"/>
              <w:right w:val="single" w:color="CCCCCC" w:sz="1"/>
            </w:tcBorders>
            <w:shd w:fill="F0EEED"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--bg-soft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#F0EEED</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Fondo calido — fondo general de pagina</w:t>
            </w:r>
          </w:p>
        </w:tc>
      </w:tr>
      <w:tr>
        <w:tc>
          <w:tcPr>
            <w:tcW w:type="dxa" w:w="1400"/>
            <w:tcBorders>
              <w:top w:val="single" w:color="CCCCCC" w:sz="1"/>
              <w:left w:val="single" w:color="CCCCCC" w:sz="1"/>
              <w:bottom w:val="single" w:color="CCCCCC" w:sz="1"/>
              <w:right w:val="single" w:color="CCCCCC" w:sz="1"/>
            </w:tcBorders>
            <w:shd w:fill="F8F6F1"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--cream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#F8F6F1</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Crema — area de productos, fondo alternativo</w:t>
            </w:r>
          </w:p>
        </w:tc>
      </w:tr>
      <w:tr>
        <w:tc>
          <w:tcPr>
            <w:tcW w:type="dxa" w:w="1400"/>
            <w:tcBorders>
              <w:top w:val="single" w:color="CCCCCC" w:sz="1"/>
              <w:left w:val="single" w:color="CCCCCC" w:sz="1"/>
              <w:bottom w:val="single" w:color="CCCCCC" w:sz="1"/>
              <w:right w:val="single" w:color="CCCCCC" w:sz="1"/>
            </w:tcBorders>
            <w:shd w:fill="E8E4DC"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--border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#E8E4DC</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Borde — separadores, bordes de tarjetas e inputs</w:t>
            </w:r>
          </w:p>
        </w:tc>
      </w:tr>
      <w:tr>
        <w:tc>
          <w:tcPr>
            <w:tcW w:type="dxa" w:w="1400"/>
            <w:tcBorders>
              <w:top w:val="single" w:color="CCCCCC" w:sz="1"/>
              <w:left w:val="single" w:color="CCCCCC" w:sz="1"/>
              <w:bottom w:val="single" w:color="CCCCCC" w:sz="1"/>
              <w:right w:val="single" w:color="CCCCCC" w:sz="1"/>
            </w:tcBorders>
            <w:shd w:fill="C0392B"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#C0392B</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Rojo corporativo — punto logo, botones, badges oferta, top footer</w:t>
            </w:r>
          </w:p>
        </w:tc>
      </w:tr>
      <w:tr>
        <w:tc>
          <w:tcPr>
            <w:tcW w:type="dxa" w:w="1400"/>
            <w:tcBorders>
              <w:top w:val="single" w:color="CCCCCC" w:sz="1"/>
              <w:left w:val="single" w:color="CCCCCC" w:sz="1"/>
              <w:bottom w:val="single" w:color="CCCCCC" w:sz="1"/>
              <w:right w:val="single" w:color="CCCCCC" w:sz="1"/>
            </w:tcBorders>
            <w:shd w:fill="D44333" w:val="clear"/>
            <w:tcMar>
              <w:top w:type="dxa" w:w="100"/>
              <w:left w:type="dxa" w:w="0"/>
              <w:bottom w:type="dxa" w:w="100"/>
              <w:right w:type="dxa" w:w="0"/>
            </w:tcMar>
          </w:tcPr>
          <w:p>
            <w:r>
              <w:rPr>
                <w:sz w:val="20"/>
                <w:szCs w:val="20"/>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r>
              <w:rPr>
                <w:rFonts w:ascii="Courier New" w:cs="Courier New" w:eastAsia="Courier New" w:hAnsi="Courier New"/>
                <w:b/>
                <w:bCs/>
                <w:color w:val="1B3A6B"/>
                <w:sz w:val="20"/>
                <w:szCs w:val="20"/>
              </w:rPr>
              <w:t xml:space="preserve">--red-hover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tcPr>
          <w:p>
            <w:r>
              <w:rPr>
                <w:rFonts w:ascii="Courier New" w:cs="Courier New" w:eastAsia="Courier New" w:hAnsi="Courier New"/>
                <w:color w:val="444444"/>
                <w:sz w:val="20"/>
                <w:szCs w:val="20"/>
              </w:rPr>
              <w:t xml:space="preserve">#D44333</w:t>
            </w:r>
          </w:p>
        </w:tc>
        <w:tc>
          <w:tcPr>
            <w:tcW w:type="dxa" w:w="3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60"/>
            </w:tcMar>
          </w:tcPr>
          <w:p>
            <w:r>
              <w:rPr>
                <w:rFonts w:ascii="Arial" w:cs="Arial" w:eastAsia="Arial" w:hAnsi="Arial"/>
                <w:color w:val="666666"/>
                <w:sz w:val="20"/>
                <w:szCs w:val="20"/>
              </w:rPr>
              <w:t xml:space="preserve">Rojo hover — estado activo de elementos rojos</w:t>
            </w:r>
          </w:p>
        </w:tc>
      </w:tr>
    </w:tbl>
    <w:p>
      <w:pPr>
        <w:spacing w:before="60" w:after="60"/>
      </w:pPr>
      <w:r>
        <w:t xml:space="preserve"/>
      </w:r>
    </w:p>
    <w:p>
      <w:pPr>
        <w:spacing w:before="60" w:after="60"/>
      </w:pPr>
      <w:r>
        <w:rPr>
          <w:rFonts w:ascii="Arial" w:cs="Arial" w:eastAsia="Arial" w:hAnsi="Arial"/>
          <w:i/>
          <w:iCs/>
          <w:color w:val="888888"/>
          <w:sz w:val="22"/>
          <w:szCs w:val="22"/>
        </w:rPr>
        <w:t xml:space="preserve">El blanco (#FFFFFF) se usa en fondos de header, sidebar, tarjetas de producto y paginas generales. No requiere variable CSS al ser valor nativo.</w:t>
      </w:r>
    </w:p>
    <w:p>
      <w:pPr>
        <w:spacing w:before="60" w:after="60"/>
      </w:pPr>
      <w:r>
        <w:t xml:space="preserve"/>
      </w:r>
    </w:p>
    <w:p>
      <w:pPr>
        <w:pStyle w:val="Heading2"/>
        <w:spacing w:before="240" w:after="120"/>
      </w:pPr>
      <w:r>
        <w:rPr>
          <w:rFonts w:ascii="Arial" w:cs="Arial" w:eastAsia="Arial" w:hAnsi="Arial"/>
          <w:b/>
          <w:bCs/>
          <w:color w:val="1B3A6B"/>
          <w:sz w:val="26"/>
          <w:szCs w:val="26"/>
        </w:rPr>
        <w:t xml:space="preserve">18.3 Tipografias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Tipografia</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Pesos usados</w:t>
            </w:r>
          </w:p>
        </w:tc>
        <w:tc>
          <w:tcPr>
            <w:tcW w:type="dxa" w:w="45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Uso en el diseno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Playfair Display (Google Fonts)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400, 600, 700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Titulo hero, precios en tarjetas, nombre en footer, estadisticas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DM Sans (Google Fonts)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300, 400, 500, 600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cuerpo de texto, navegacion, botones, buscador, refs</w:t>
            </w:r>
          </w:p>
        </w:tc>
      </w:tr>
    </w:tbl>
    <w:p>
      <w:pPr>
        <w:spacing w:before="60" w:after="60"/>
      </w:pPr>
      <w:r>
        <w:t xml:space="preserve"/>
      </w:r>
    </w:p>
    <w:p>
      <w:pPr>
        <w:pStyle w:val="Heading2"/>
        <w:spacing w:before="240" w:after="120"/>
      </w:pPr>
      <w:r>
        <w:rPr>
          <w:rFonts w:ascii="Arial" w:cs="Arial" w:eastAsia="Arial" w:hAnsi="Arial"/>
          <w:b/>
          <w:bCs/>
          <w:color w:val="1B3A6B"/>
          <w:sz w:val="26"/>
          <w:szCs w:val="26"/>
        </w:rPr>
        <w:t xml:space="preserve">18.4 Estructura de Pantalla Validada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Seccion</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Descripcion y colores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Top Bar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Fondo --dark-main (#2D2D2D) · Texto blanco 60% · 12px</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Header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Blanco · Logo + buscador central + iconos cuenta/cesta · Sticky · Sombra ligera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Navegacion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Fondo --dark-main · Items blanco 75% · Activo/hover rojo con borde inferior · Boton Ofertas fondo rojo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Hero</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Fondo --dark-soft (#3A3A3A) · Grid 2 cols: texto+CTAs / tarjetas flotantes · Manchas decorativas rojo y blanco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Trust Bar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Fondo --dark-soft · 5 items de confianza · Texto blanco 75%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Category Strip</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Blanco · Pills con border redondeado 30px · Activo/hover rojo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Shop Layout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260px sidebar blanco + 1fr productos fondo --cream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Footer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Fondo --dark-main · Borde superior 3px rojo · Grid 2fr+1fr+1fr+1fr · Texto blanco 60%</w:t>
            </w:r>
          </w:p>
        </w:tc>
      </w:tr>
    </w:tbl>
    <w:p>
      <w:pPr>
        <w:spacing w:before="60" w:after="60"/>
      </w:pPr>
      <w:r>
        <w:t xml:space="preserve"/>
      </w:r>
    </w:p>
    <w:p>
      <w:pPr>
        <w:pStyle w:val="Heading2"/>
        <w:spacing w:before="240" w:after="120"/>
      </w:pPr>
      <w:r>
        <w:rPr>
          <w:rFonts w:ascii="Arial" w:cs="Arial" w:eastAsia="Arial" w:hAnsi="Arial"/>
          <w:b/>
          <w:bCs/>
          <w:color w:val="1B3A6B"/>
          <w:sz w:val="26"/>
          <w:szCs w:val="26"/>
        </w:rPr>
        <w:t xml:space="preserve">18.5 Archivo de Referencia del Diseno</w:t>
      </w:r>
    </w:p>
    <w:p>
      <w:pPr>
        <w:spacing w:before="60" w:after="60"/>
      </w:pPr>
      <w:r>
        <w:rPr>
          <w:rFonts w:ascii="Arial" w:cs="Arial" w:eastAsia="Arial" w:hAnsi="Arial"/>
          <w:b/>
          <w:bCs/>
          <w:sz w:val="22"/>
          <w:szCs w:val="22"/>
        </w:rPr>
        <w:t xml:space="preserve">El archivo de referencia es index1.html (diseno validado por el cliente). Contiene el HTML y CSS completo, limpio, comentado y sin residuos de versiones anteriores.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6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Nombre del fichero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index1.html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Estado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Diseno validado por el cliente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Correcciones aplicadas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 duplicadas eliminadas · --navy renombrado a --dark-main y --dark-soft · --charcoal y --gray-border definidas · CSS comentado basura eliminado · Margenes conflictivos buscador corregidos · Colores azulados heredados sustituidos por grises/blancos neutros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Variables de color en :root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variables, sin duplicados, sin variables indefinidas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Tipografias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Playfair Display (400/600/700) + DM Sans (300/400/500/600)</w:t>
            </w:r>
          </w:p>
        </w:tc>
      </w:tr>
    </w:tbl>
    <w:p>
      <w:r>
        <w:br w:type="page"/>
      </w:r>
    </w:p>
    <w:p>
      <w:pPr>
        <w:pStyle w:val="Heading1"/>
        <w:spacing w:before="360" w:after="180"/>
      </w:pPr>
      <w:r>
        <w:rPr>
          <w:rFonts w:ascii="Arial" w:cs="Arial" w:eastAsia="Arial" w:hAnsi="Arial"/>
          <w:b/>
          <w:bCs/>
          <w:color w:val="1B3A6B"/>
          <w:sz w:val="32"/>
          <w:szCs w:val="32"/>
        </w:rPr>
        <w:t xml:space="preserve">19. Decisiones Pendientes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Punto pendiente</w:t>
            </w:r>
          </w:p>
        </w:tc>
        <w:tc>
          <w:tcPr>
            <w:tcW w:type="dxa" w:w="4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4513"/>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Comunicacion SAGE 50 ↔ WooCommerce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Unidireccional al inicio (SAGE → Web). Bidireccional preparada en Conecta HUB para activar sin cambios tecnicos.</w:t>
            </w:r>
          </w:p>
        </w:tc>
      </w:tr>
      <w:tr>
        <w:tc>
          <w:tcPr>
            <w:tcW w:type="dxa" w:w="4513"/>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Dominio definitivo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Confirmar si el dominio sera dentix.es, dentix.com u otra opcion.</w:t>
            </w:r>
          </w:p>
        </w:tc>
      </w:tr>
      <w:tr>
        <w:tc>
          <w:tcPr>
            <w:tcW w:type="dxa" w:w="4513"/>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Plan VPS Dinahosting concreto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Confirmar plan exacto (Store, VPS I o VPS II) segun trafico y almacenamiento estimado.</w:t>
            </w:r>
          </w:p>
        </w:tc>
      </w:tr>
      <w:tr>
        <w:tc>
          <w:tcPr>
            <w:tcW w:type="dxa" w:w="4513"/>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Plan Conecta HUB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Confirmar plan de suscripcion mas adecuado para el volumen de Dentix.</w:t>
            </w:r>
          </w:p>
        </w:tc>
      </w:tr>
    </w:tbl>
    <w:p>
      <w:pPr>
        <w:spacing w:before="60" w:after="60"/>
      </w:pPr>
      <w:r>
        <w:t xml:space="preserve"/>
      </w:r>
    </w:p>
    <w:p>
      <w:pPr>
        <w:spacing w:before="60" w:after="60"/>
      </w:pPr>
      <w:r>
        <w:t xml:space="preserve"/>
      </w:r>
    </w:p>
    <w:p>
      <w:pPr>
        <w:pBdr>
          <w:bottom w:val="single" w:color="1B3A6B" w:sz="6" w:space="1"/>
        </w:pBdr>
        <w:spacing w:before="120" w:after="120"/>
      </w:pPr>
      <w:r>
        <w:t xml:space="preserve"/>
      </w:r>
    </w:p>
    <w:p>
      <w:pPr>
        <w:spacing w:before="240" w:after="80"/>
        <w:jc w:val="center"/>
      </w:pPr>
      <w:r>
        <w:rPr>
          <w:rFonts w:ascii="Arial" w:cs="Arial" w:eastAsia="Arial" w:hAnsi="Arial"/>
          <w:b/>
          <w:bCs/>
          <w:color w:val="1B3A6B"/>
          <w:sz w:val="24"/>
          <w:szCs w:val="24"/>
        </w:rPr>
        <w:t xml:space="preserve">Dentix Productos Dentales, S.L.</w:t>
      </w:r>
    </w:p>
    <w:p>
      <w:pPr>
        <w:jc w:val="center"/>
      </w:pPr>
      <w:r>
        <w:rPr>
          <w:rFonts w:ascii="Arial" w:cs="Arial" w:eastAsia="Arial" w:hAnsi="Arial"/>
          <w:color w:val="888888"/>
          <w:sz w:val="18"/>
          <w:szCs w:val="18"/>
        </w:rPr>
        <w:t xml:space="preserve">Documento de Requisitos v3.0 · Fase de Análisis y Diseño · Febrero 2026</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Dentix Productos Dentales, S.L.  |  Documento de Requisitos v3.0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2026-03-11T16:26:21.422Z</dcterms:created>
  <dcterms:modified xsi:type="dcterms:W3CDTF">2026-03-11T16:26:21.423Z</dcterms:modified>
</cp:coreProperties>
</file>

<file path=docProps/custom.xml><?xml version="1.0" encoding="utf-8"?>
<Properties xmlns="http://schemas.openxmlformats.org/officeDocument/2006/custom-properties" xmlns:vt="http://schemas.openxmlformats.org/officeDocument/2006/docPropsVTypes"/>
</file>