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6715" w14:textId="77777777" w:rsidR="000062A3" w:rsidRPr="00414ADF" w:rsidRDefault="00546DD8" w:rsidP="00414ADF">
      <w:pPr>
        <w:pStyle w:val="Ttulo2"/>
      </w:pPr>
      <w:r w:rsidRPr="00414ADF">
        <w:t xml:space="preserve">Implementación de </w:t>
      </w:r>
      <w:proofErr w:type="spellStart"/>
      <w:r w:rsidRPr="00414ADF">
        <w:t>Datacenter</w:t>
      </w:r>
      <w:proofErr w:type="spellEnd"/>
      <w:r w:rsidRPr="00414ADF">
        <w:t xml:space="preserve"> en </w:t>
      </w:r>
      <w:proofErr w:type="spellStart"/>
      <w:r w:rsidRPr="00414ADF">
        <w:t>Site</w:t>
      </w:r>
      <w:proofErr w:type="spellEnd"/>
      <w:r w:rsidRPr="00414ADF">
        <w:t xml:space="preserve"> Principal y Secundario</w:t>
      </w:r>
    </w:p>
    <w:p w14:paraId="3D40398A" w14:textId="23AE7B8E" w:rsidR="000062A3" w:rsidRPr="00414ADF" w:rsidRDefault="00546DD8">
      <w:pPr>
        <w:shd w:val="clear" w:color="auto" w:fill="FFFFFF"/>
        <w:spacing w:after="300"/>
        <w:jc w:val="both"/>
        <w:rPr>
          <w:sz w:val="20"/>
          <w:szCs w:val="20"/>
        </w:rPr>
      </w:pPr>
      <w:r w:rsidRPr="00414ADF">
        <w:rPr>
          <w:sz w:val="20"/>
          <w:szCs w:val="20"/>
        </w:rPr>
        <w:t xml:space="preserve">Al construir e implementar el </w:t>
      </w:r>
      <w:proofErr w:type="spellStart"/>
      <w:r w:rsidR="00414ADF" w:rsidRPr="00414ADF">
        <w:rPr>
          <w:sz w:val="20"/>
          <w:szCs w:val="20"/>
        </w:rPr>
        <w:t>D</w:t>
      </w:r>
      <w:r w:rsidRPr="00414ADF">
        <w:rPr>
          <w:sz w:val="20"/>
          <w:szCs w:val="20"/>
        </w:rPr>
        <w:t>atacenter</w:t>
      </w:r>
      <w:proofErr w:type="spellEnd"/>
      <w:r w:rsidRPr="00414ADF">
        <w:rPr>
          <w:sz w:val="20"/>
          <w:szCs w:val="20"/>
        </w:rPr>
        <w:t xml:space="preserve"> solicitado para el </w:t>
      </w:r>
      <w:proofErr w:type="spellStart"/>
      <w:r w:rsidRPr="00414ADF">
        <w:rPr>
          <w:sz w:val="20"/>
          <w:szCs w:val="20"/>
        </w:rPr>
        <w:t>site</w:t>
      </w:r>
      <w:proofErr w:type="spellEnd"/>
      <w:r w:rsidRPr="00414ADF">
        <w:rPr>
          <w:sz w:val="20"/>
          <w:szCs w:val="20"/>
        </w:rPr>
        <w:t xml:space="preserve"> principal, queremos asegurarnos de que ha sido diseñado y construido de acuerdo con los estándares aceptados a nivel mundial, no dejando de lado el hecho de que tengan la flexibilidad de adaptarse a los requisitos del negocio.</w:t>
      </w:r>
    </w:p>
    <w:p w14:paraId="63EC43B7" w14:textId="5D450D78" w:rsidR="000062A3" w:rsidRPr="00414ADF" w:rsidRDefault="00546DD8">
      <w:pPr>
        <w:shd w:val="clear" w:color="auto" w:fill="FFFFFF"/>
        <w:spacing w:after="300"/>
        <w:jc w:val="both"/>
        <w:rPr>
          <w:sz w:val="20"/>
          <w:szCs w:val="20"/>
        </w:rPr>
      </w:pPr>
      <w:r w:rsidRPr="00414ADF">
        <w:rPr>
          <w:sz w:val="20"/>
          <w:szCs w:val="20"/>
        </w:rPr>
        <w:t>El estándar TIA</w:t>
      </w:r>
      <w:r w:rsidR="005C6079" w:rsidRPr="00414ADF">
        <w:rPr>
          <w:sz w:val="20"/>
          <w:szCs w:val="20"/>
        </w:rPr>
        <w:t xml:space="preserve"> </w:t>
      </w:r>
      <w:r w:rsidRPr="00414ADF">
        <w:rPr>
          <w:sz w:val="20"/>
          <w:szCs w:val="20"/>
        </w:rPr>
        <w:t xml:space="preserve">942 es uno de los estándares más importantes dentro de los diseños de los data center, ya que describe especificaciones para variados elementos dentro del diseño de la infraestructura física, como lo son el diseño de redes, sistemas redundantes de energía y enfriamiento, sistemas de seguridad, protección contra desastres naturales etc. El estándar es mundialmente reconocido debido a que establece una topología de </w:t>
      </w:r>
      <w:proofErr w:type="spellStart"/>
      <w:r w:rsidR="00414ADF" w:rsidRPr="00414ADF">
        <w:rPr>
          <w:sz w:val="20"/>
          <w:szCs w:val="20"/>
        </w:rPr>
        <w:t>D</w:t>
      </w:r>
      <w:r w:rsidRPr="00414ADF">
        <w:rPr>
          <w:sz w:val="20"/>
          <w:szCs w:val="20"/>
        </w:rPr>
        <w:t>atacenter</w:t>
      </w:r>
      <w:proofErr w:type="spellEnd"/>
      <w:r w:rsidRPr="00414ADF">
        <w:rPr>
          <w:sz w:val="20"/>
          <w:szCs w:val="20"/>
        </w:rPr>
        <w:t xml:space="preserve"> modificable, la cual puede ser aplicable a cualquier </w:t>
      </w:r>
      <w:proofErr w:type="spellStart"/>
      <w:r w:rsidR="00414ADF" w:rsidRPr="00414ADF">
        <w:rPr>
          <w:sz w:val="20"/>
          <w:szCs w:val="20"/>
        </w:rPr>
        <w:t>D</w:t>
      </w:r>
      <w:r w:rsidRPr="00414ADF">
        <w:rPr>
          <w:sz w:val="20"/>
          <w:szCs w:val="20"/>
        </w:rPr>
        <w:t>atacenter</w:t>
      </w:r>
      <w:proofErr w:type="spellEnd"/>
      <w:r w:rsidRPr="00414ADF">
        <w:rPr>
          <w:sz w:val="20"/>
          <w:szCs w:val="20"/>
        </w:rPr>
        <w:t xml:space="preserve"> de cualquier tamaño en cualquier lugar. </w:t>
      </w:r>
    </w:p>
    <w:p w14:paraId="79EEA27D" w14:textId="74542C40" w:rsidR="000062A3" w:rsidRPr="00414ADF" w:rsidRDefault="00546DD8">
      <w:pPr>
        <w:shd w:val="clear" w:color="auto" w:fill="FFFFFF"/>
        <w:spacing w:after="300"/>
        <w:jc w:val="both"/>
        <w:rPr>
          <w:sz w:val="20"/>
          <w:szCs w:val="20"/>
        </w:rPr>
      </w:pPr>
      <w:r w:rsidRPr="00414ADF">
        <w:rPr>
          <w:sz w:val="20"/>
          <w:szCs w:val="20"/>
        </w:rPr>
        <w:t xml:space="preserve">De esta manera, para el diseño, implementación y operación de la plataforma del centro de datos interno solicitado; hemos seguido fielmente las recomendaciones y directrices del estándar. Este último, especifica los requisitos mínimos para entregar un servicio de </w:t>
      </w:r>
      <w:proofErr w:type="spellStart"/>
      <w:r w:rsidR="00414ADF" w:rsidRPr="00414ADF">
        <w:rPr>
          <w:sz w:val="20"/>
          <w:szCs w:val="20"/>
        </w:rPr>
        <w:t>D</w:t>
      </w:r>
      <w:r w:rsidRPr="00414ADF">
        <w:rPr>
          <w:sz w:val="20"/>
          <w:szCs w:val="20"/>
        </w:rPr>
        <w:t>atacenter</w:t>
      </w:r>
      <w:proofErr w:type="spellEnd"/>
      <w:r w:rsidRPr="00414ADF">
        <w:rPr>
          <w:sz w:val="20"/>
          <w:szCs w:val="20"/>
        </w:rPr>
        <w:t xml:space="preserve"> confiable que no solo cumpla con los </w:t>
      </w:r>
      <w:proofErr w:type="spellStart"/>
      <w:r w:rsidRPr="00414ADF">
        <w:rPr>
          <w:sz w:val="20"/>
          <w:szCs w:val="20"/>
        </w:rPr>
        <w:t>SLAs</w:t>
      </w:r>
      <w:proofErr w:type="spellEnd"/>
      <w:r w:rsidRPr="00414ADF">
        <w:rPr>
          <w:sz w:val="20"/>
          <w:szCs w:val="20"/>
        </w:rPr>
        <w:t xml:space="preserve"> necesarios para la solución, sino que también cumpla con las características de seguridad, escalabilidad y efectividad de los centros de información más confiables y modernos a nivel mundial.</w:t>
      </w:r>
    </w:p>
    <w:p w14:paraId="52DC7B89" w14:textId="77777777" w:rsidR="000062A3" w:rsidRPr="00414ADF" w:rsidRDefault="00546DD8">
      <w:pPr>
        <w:shd w:val="clear" w:color="auto" w:fill="FFFFFF"/>
        <w:spacing w:after="300"/>
        <w:jc w:val="both"/>
        <w:rPr>
          <w:sz w:val="20"/>
          <w:szCs w:val="20"/>
          <w:highlight w:val="white"/>
        </w:rPr>
      </w:pPr>
      <w:r w:rsidRPr="00414ADF">
        <w:rPr>
          <w:sz w:val="20"/>
          <w:szCs w:val="20"/>
          <w:highlight w:val="white"/>
        </w:rPr>
        <w:t>El “punto de partida” de la norma es comenzar el trabajo de diseño antes de la construcción. Sólo en esta etapa podemos apreciar plenamente todas las características arquitectónicas de los locales del centro de datos y garantizar la integración de todos los sistemas técnicos.</w:t>
      </w:r>
    </w:p>
    <w:p w14:paraId="6F7C26C9" w14:textId="77133C9C" w:rsidR="000062A3" w:rsidRPr="00414ADF" w:rsidRDefault="00546DD8">
      <w:pPr>
        <w:shd w:val="clear" w:color="auto" w:fill="FFFFFF"/>
        <w:spacing w:after="300"/>
        <w:jc w:val="both"/>
        <w:rPr>
          <w:sz w:val="20"/>
          <w:szCs w:val="20"/>
          <w:highlight w:val="white"/>
        </w:rPr>
      </w:pPr>
      <w:r w:rsidRPr="00414ADF">
        <w:rPr>
          <w:sz w:val="20"/>
          <w:szCs w:val="20"/>
          <w:highlight w:val="white"/>
        </w:rPr>
        <w:t xml:space="preserve">Los centros de datos a implementar tendrán las siguientes áreas funcionales cuales están claramente establecidas en el plano modificado del </w:t>
      </w:r>
      <w:proofErr w:type="spellStart"/>
      <w:r w:rsidRPr="00414ADF">
        <w:rPr>
          <w:sz w:val="20"/>
          <w:szCs w:val="20"/>
          <w:highlight w:val="white"/>
        </w:rPr>
        <w:t>site</w:t>
      </w:r>
      <w:proofErr w:type="spellEnd"/>
      <w:r w:rsidRPr="00414ADF">
        <w:rPr>
          <w:sz w:val="20"/>
          <w:szCs w:val="20"/>
          <w:highlight w:val="white"/>
        </w:rPr>
        <w:t xml:space="preserve"> principal:</w:t>
      </w:r>
    </w:p>
    <w:p w14:paraId="08E8DC11" w14:textId="77777777" w:rsidR="000062A3" w:rsidRPr="00414ADF" w:rsidRDefault="00546DD8">
      <w:pPr>
        <w:numPr>
          <w:ilvl w:val="0"/>
          <w:numId w:val="1"/>
        </w:numPr>
        <w:shd w:val="clear" w:color="auto" w:fill="FFFFFF"/>
        <w:jc w:val="both"/>
        <w:rPr>
          <w:sz w:val="20"/>
          <w:szCs w:val="20"/>
          <w:highlight w:val="white"/>
        </w:rPr>
      </w:pPr>
      <w:r w:rsidRPr="00414ADF">
        <w:rPr>
          <w:sz w:val="20"/>
          <w:szCs w:val="20"/>
          <w:highlight w:val="white"/>
        </w:rPr>
        <w:t>Cuarto de Entrada: El cuarto de entrada albergará el equipo de los operadores de telefonía. La norma recomienda que esté en un cuarto aparte por razones de seguridad.</w:t>
      </w:r>
    </w:p>
    <w:p w14:paraId="684F3324" w14:textId="77777777" w:rsidR="000062A3" w:rsidRPr="00414ADF" w:rsidRDefault="00546DD8">
      <w:pPr>
        <w:numPr>
          <w:ilvl w:val="0"/>
          <w:numId w:val="1"/>
        </w:numPr>
        <w:shd w:val="clear" w:color="auto" w:fill="FFFFFF"/>
        <w:jc w:val="both"/>
        <w:rPr>
          <w:sz w:val="20"/>
          <w:szCs w:val="20"/>
          <w:highlight w:val="white"/>
        </w:rPr>
      </w:pPr>
      <w:r w:rsidRPr="00414ADF">
        <w:rPr>
          <w:sz w:val="20"/>
          <w:szCs w:val="20"/>
          <w:highlight w:val="white"/>
        </w:rPr>
        <w:t>Área de distribución principal: El área de distribución principal albergará el punto de conexión cruzada central para el sistema de cableado estructurado del centro de datos. Esta área estará ubicada en una zona central para evitar superar las distancias del cableado recomendadas.</w:t>
      </w:r>
    </w:p>
    <w:p w14:paraId="4169EA68" w14:textId="77777777" w:rsidR="000062A3" w:rsidRPr="00414ADF" w:rsidRDefault="00546DD8">
      <w:pPr>
        <w:numPr>
          <w:ilvl w:val="0"/>
          <w:numId w:val="1"/>
        </w:numPr>
        <w:shd w:val="clear" w:color="auto" w:fill="FFFFFF"/>
        <w:jc w:val="both"/>
        <w:rPr>
          <w:sz w:val="20"/>
          <w:szCs w:val="20"/>
          <w:highlight w:val="white"/>
        </w:rPr>
      </w:pPr>
      <w:r w:rsidRPr="00414ADF">
        <w:rPr>
          <w:sz w:val="20"/>
          <w:szCs w:val="20"/>
          <w:highlight w:val="white"/>
        </w:rPr>
        <w:t>Área de distribución horizontal: El área de distribución horizontal es la ubicación de las interconexiones horizontales, el punto de distribución para el cableado hacia las áreas de distribución de los equipos.</w:t>
      </w:r>
    </w:p>
    <w:p w14:paraId="17527B10" w14:textId="77777777" w:rsidR="000062A3" w:rsidRPr="00414ADF" w:rsidRDefault="00546DD8">
      <w:pPr>
        <w:numPr>
          <w:ilvl w:val="0"/>
          <w:numId w:val="1"/>
        </w:numPr>
        <w:shd w:val="clear" w:color="auto" w:fill="FFFFFF"/>
        <w:jc w:val="both"/>
        <w:rPr>
          <w:sz w:val="20"/>
          <w:szCs w:val="20"/>
          <w:highlight w:val="white"/>
        </w:rPr>
      </w:pPr>
      <w:r w:rsidRPr="00414ADF">
        <w:rPr>
          <w:sz w:val="20"/>
          <w:szCs w:val="20"/>
          <w:highlight w:val="white"/>
        </w:rPr>
        <w:t xml:space="preserve">Área de distribución de zonas: Es el área de cableado estructurado para los equipos que van en el suelo y no pueden aceptar paneles de parcheo (computadores centrales o servidores). </w:t>
      </w:r>
    </w:p>
    <w:p w14:paraId="2ABB43F0" w14:textId="5BCE3FAF" w:rsidR="000062A3" w:rsidRPr="00414ADF" w:rsidRDefault="00546DD8" w:rsidP="00414ADF">
      <w:pPr>
        <w:numPr>
          <w:ilvl w:val="0"/>
          <w:numId w:val="1"/>
        </w:numPr>
        <w:shd w:val="clear" w:color="auto" w:fill="FFFFFF"/>
        <w:spacing w:after="300"/>
        <w:jc w:val="both"/>
        <w:rPr>
          <w:sz w:val="20"/>
          <w:szCs w:val="20"/>
          <w:highlight w:val="white"/>
        </w:rPr>
      </w:pPr>
      <w:r w:rsidRPr="00414ADF">
        <w:rPr>
          <w:sz w:val="20"/>
          <w:szCs w:val="20"/>
          <w:highlight w:val="white"/>
        </w:rPr>
        <w:t xml:space="preserve">Área de distribución de los equipos: Es la ubicación de los gabinetes y racks de equipos. La norma </w:t>
      </w:r>
      <w:r w:rsidR="00776E47" w:rsidRPr="00414ADF">
        <w:rPr>
          <w:sz w:val="20"/>
          <w:szCs w:val="20"/>
          <w:highlight w:val="white"/>
        </w:rPr>
        <w:t>específica</w:t>
      </w:r>
      <w:r w:rsidRPr="00414ADF">
        <w:rPr>
          <w:sz w:val="20"/>
          <w:szCs w:val="20"/>
          <w:highlight w:val="white"/>
        </w:rPr>
        <w:t xml:space="preserve"> que los gabinetes y racks se deben colocar en una configuración “</w:t>
      </w:r>
      <w:proofErr w:type="spellStart"/>
      <w:r w:rsidRPr="00414ADF">
        <w:rPr>
          <w:sz w:val="20"/>
          <w:szCs w:val="20"/>
          <w:highlight w:val="white"/>
        </w:rPr>
        <w:t>hot</w:t>
      </w:r>
      <w:proofErr w:type="spellEnd"/>
      <w:r w:rsidRPr="00414ADF">
        <w:rPr>
          <w:sz w:val="20"/>
          <w:szCs w:val="20"/>
          <w:highlight w:val="white"/>
        </w:rPr>
        <w:t xml:space="preserve"> </w:t>
      </w:r>
      <w:proofErr w:type="spellStart"/>
      <w:r w:rsidRPr="00414ADF">
        <w:rPr>
          <w:sz w:val="20"/>
          <w:szCs w:val="20"/>
          <w:highlight w:val="white"/>
        </w:rPr>
        <w:t>aisle</w:t>
      </w:r>
      <w:proofErr w:type="spellEnd"/>
      <w:r w:rsidRPr="00414ADF">
        <w:rPr>
          <w:sz w:val="20"/>
          <w:szCs w:val="20"/>
          <w:highlight w:val="white"/>
        </w:rPr>
        <w:t>/</w:t>
      </w:r>
      <w:proofErr w:type="spellStart"/>
      <w:r w:rsidRPr="00414ADF">
        <w:rPr>
          <w:sz w:val="20"/>
          <w:szCs w:val="20"/>
          <w:highlight w:val="white"/>
        </w:rPr>
        <w:t>cold</w:t>
      </w:r>
      <w:proofErr w:type="spellEnd"/>
      <w:r w:rsidRPr="00414ADF">
        <w:rPr>
          <w:sz w:val="20"/>
          <w:szCs w:val="20"/>
          <w:highlight w:val="white"/>
        </w:rPr>
        <w:t xml:space="preserve"> </w:t>
      </w:r>
      <w:proofErr w:type="spellStart"/>
      <w:r w:rsidRPr="00414ADF">
        <w:rPr>
          <w:sz w:val="20"/>
          <w:szCs w:val="20"/>
          <w:highlight w:val="white"/>
        </w:rPr>
        <w:t>aisle</w:t>
      </w:r>
      <w:proofErr w:type="spellEnd"/>
      <w:r w:rsidRPr="00414ADF">
        <w:rPr>
          <w:sz w:val="20"/>
          <w:szCs w:val="20"/>
          <w:highlight w:val="white"/>
        </w:rPr>
        <w:t>” (“pasillo caliente/pasillo frío”) para que disipen de manera eficaz el calor de los equipos electrónicos.</w:t>
      </w:r>
    </w:p>
    <w:p w14:paraId="6D2A2540" w14:textId="77777777" w:rsidR="000062A3" w:rsidRPr="00414ADF" w:rsidRDefault="00546DD8">
      <w:pPr>
        <w:shd w:val="clear" w:color="auto" w:fill="FFFFFF"/>
        <w:spacing w:after="300"/>
        <w:jc w:val="both"/>
        <w:rPr>
          <w:sz w:val="20"/>
          <w:szCs w:val="20"/>
          <w:highlight w:val="white"/>
        </w:rPr>
      </w:pPr>
      <w:r w:rsidRPr="00414ADF">
        <w:rPr>
          <w:sz w:val="20"/>
          <w:szCs w:val="20"/>
          <w:highlight w:val="white"/>
        </w:rPr>
        <w:t>Este estándar considera la infraestructura del cableado, la cual considera los siguientes componentes:</w:t>
      </w:r>
    </w:p>
    <w:p w14:paraId="04E40B01" w14:textId="77777777" w:rsidR="000062A3" w:rsidRPr="00414ADF" w:rsidRDefault="00546DD8">
      <w:pPr>
        <w:numPr>
          <w:ilvl w:val="0"/>
          <w:numId w:val="6"/>
        </w:numPr>
        <w:shd w:val="clear" w:color="auto" w:fill="FFFFFF"/>
        <w:spacing w:after="300"/>
        <w:jc w:val="both"/>
        <w:rPr>
          <w:sz w:val="20"/>
          <w:szCs w:val="20"/>
          <w:highlight w:val="white"/>
        </w:rPr>
      </w:pPr>
      <w:r w:rsidRPr="00414ADF">
        <w:rPr>
          <w:sz w:val="20"/>
          <w:szCs w:val="20"/>
          <w:highlight w:val="white"/>
        </w:rPr>
        <w:t xml:space="preserve">Racks y gabinetes: Administramos de manera que no solo se tiene el cableado organizado, sino que también mantiene los equipos frescos al eliminar los obstáculos que impiden el movimiento del aire. Estas características protegen a los cables, aseguran que no se excedan los límites del radio de curvatura y manejan la holgura de los cables con eficacia. </w:t>
      </w:r>
    </w:p>
    <w:p w14:paraId="3F05C41B" w14:textId="024CBBD8" w:rsidR="000062A3" w:rsidRPr="00414ADF" w:rsidRDefault="00546DD8" w:rsidP="005C6079">
      <w:pPr>
        <w:shd w:val="clear" w:color="auto" w:fill="FFFFFF"/>
        <w:spacing w:after="300"/>
        <w:ind w:left="720"/>
        <w:jc w:val="both"/>
        <w:rPr>
          <w:sz w:val="20"/>
          <w:szCs w:val="20"/>
          <w:highlight w:val="white"/>
        </w:rPr>
      </w:pPr>
      <w:r w:rsidRPr="00414ADF">
        <w:rPr>
          <w:sz w:val="20"/>
          <w:szCs w:val="20"/>
          <w:highlight w:val="white"/>
        </w:rPr>
        <w:lastRenderedPageBreak/>
        <w:t xml:space="preserve">Cálculos realizados para asegurarse de que el rack o gabinete brinden la capacidad adecuada para manejar los cables. Se muestra la fórmula para UTP categoría 6. El último cálculo (multiplicar por 1.3) se hace para garantizar que el sistema de administración de cables no supere el 70% de capacidad. </w:t>
      </w:r>
    </w:p>
    <w:p w14:paraId="5B4116A6" w14:textId="77777777" w:rsidR="000062A3" w:rsidRPr="00414ADF" w:rsidRDefault="00546DD8">
      <w:pPr>
        <w:numPr>
          <w:ilvl w:val="0"/>
          <w:numId w:val="6"/>
        </w:numPr>
        <w:shd w:val="clear" w:color="auto" w:fill="FFFFFF"/>
        <w:spacing w:after="300"/>
        <w:jc w:val="both"/>
        <w:rPr>
          <w:sz w:val="20"/>
          <w:szCs w:val="20"/>
          <w:highlight w:val="white"/>
        </w:rPr>
      </w:pPr>
      <w:r w:rsidRPr="00414ADF">
        <w:rPr>
          <w:sz w:val="20"/>
          <w:szCs w:val="20"/>
          <w:highlight w:val="white"/>
        </w:rPr>
        <w:t>Sistemas de tendido de cable: Para lograr un tendido de cables óptimo, se tendrán extensas trayectorias de cables superiores y por debajo de piso. Usando el trayecto por debajo de piso para el cableado permanente y el trayecto superior para el cableado temporal.</w:t>
      </w:r>
    </w:p>
    <w:p w14:paraId="31BAB296" w14:textId="559B3548" w:rsidR="000062A3" w:rsidRPr="00414ADF" w:rsidRDefault="00546DD8">
      <w:pPr>
        <w:shd w:val="clear" w:color="auto" w:fill="FFFFFF"/>
        <w:spacing w:after="300"/>
        <w:jc w:val="both"/>
        <w:rPr>
          <w:sz w:val="21"/>
          <w:szCs w:val="21"/>
          <w:shd w:val="clear" w:color="auto" w:fill="F9F9F9"/>
        </w:rPr>
      </w:pPr>
      <w:r w:rsidRPr="00414ADF">
        <w:rPr>
          <w:sz w:val="21"/>
          <w:szCs w:val="21"/>
          <w:shd w:val="clear" w:color="auto" w:fill="F9F9F9"/>
        </w:rPr>
        <w:t>TIA</w:t>
      </w:r>
      <w:r w:rsidR="005C6079" w:rsidRPr="00414ADF">
        <w:rPr>
          <w:sz w:val="21"/>
          <w:szCs w:val="21"/>
          <w:shd w:val="clear" w:color="auto" w:fill="F9F9F9"/>
        </w:rPr>
        <w:t xml:space="preserve"> </w:t>
      </w:r>
      <w:r w:rsidRPr="00414ADF">
        <w:rPr>
          <w:sz w:val="21"/>
          <w:szCs w:val="21"/>
          <w:shd w:val="clear" w:color="auto" w:fill="F9F9F9"/>
        </w:rPr>
        <w:t xml:space="preserve">942 también define los 4 niveles de </w:t>
      </w:r>
      <w:proofErr w:type="spellStart"/>
      <w:r w:rsidRPr="00414ADF">
        <w:rPr>
          <w:sz w:val="21"/>
          <w:szCs w:val="21"/>
          <w:shd w:val="clear" w:color="auto" w:fill="F9F9F9"/>
        </w:rPr>
        <w:t>Tiers</w:t>
      </w:r>
      <w:proofErr w:type="spellEnd"/>
      <w:r w:rsidRPr="00414ADF">
        <w:rPr>
          <w:sz w:val="21"/>
          <w:szCs w:val="21"/>
          <w:shd w:val="clear" w:color="auto" w:fill="F9F9F9"/>
        </w:rPr>
        <w:t xml:space="preserve">, los cuales fueron después adoptados en las certificaciones del aclamado </w:t>
      </w:r>
      <w:proofErr w:type="spellStart"/>
      <w:r w:rsidRPr="00414ADF">
        <w:rPr>
          <w:sz w:val="21"/>
          <w:szCs w:val="21"/>
          <w:shd w:val="clear" w:color="auto" w:fill="F9F9F9"/>
        </w:rPr>
        <w:t>Uptime</w:t>
      </w:r>
      <w:proofErr w:type="spellEnd"/>
      <w:r w:rsidRPr="00414ADF">
        <w:rPr>
          <w:sz w:val="21"/>
          <w:szCs w:val="21"/>
          <w:shd w:val="clear" w:color="auto" w:fill="F9F9F9"/>
        </w:rPr>
        <w:t xml:space="preserve"> </w:t>
      </w:r>
      <w:proofErr w:type="spellStart"/>
      <w:r w:rsidRPr="00414ADF">
        <w:rPr>
          <w:sz w:val="21"/>
          <w:szCs w:val="21"/>
          <w:shd w:val="clear" w:color="auto" w:fill="F9F9F9"/>
        </w:rPr>
        <w:t>Institute</w:t>
      </w:r>
      <w:proofErr w:type="spellEnd"/>
      <w:r w:rsidRPr="00414ADF">
        <w:rPr>
          <w:sz w:val="21"/>
          <w:szCs w:val="21"/>
          <w:shd w:val="clear" w:color="auto" w:fill="F9F9F9"/>
        </w:rPr>
        <w:t xml:space="preserve"> para clasificar Data Centers </w:t>
      </w:r>
      <w:proofErr w:type="gramStart"/>
      <w:r w:rsidRPr="00414ADF">
        <w:rPr>
          <w:sz w:val="21"/>
          <w:szCs w:val="21"/>
          <w:shd w:val="clear" w:color="auto" w:fill="F9F9F9"/>
        </w:rPr>
        <w:t>de acuerdo a</w:t>
      </w:r>
      <w:proofErr w:type="gramEnd"/>
      <w:r w:rsidRPr="00414ADF">
        <w:rPr>
          <w:sz w:val="21"/>
          <w:szCs w:val="21"/>
          <w:shd w:val="clear" w:color="auto" w:fill="F9F9F9"/>
        </w:rPr>
        <w:t xml:space="preserve"> su disponibilidad. Para la solución actual debemos implementar un data center con UN nivel de fiabilidad </w:t>
      </w:r>
      <w:proofErr w:type="spellStart"/>
      <w:r w:rsidRPr="00414ADF">
        <w:rPr>
          <w:sz w:val="21"/>
          <w:szCs w:val="21"/>
          <w:shd w:val="clear" w:color="auto" w:fill="F9F9F9"/>
        </w:rPr>
        <w:t>Tier</w:t>
      </w:r>
      <w:proofErr w:type="spellEnd"/>
      <w:r w:rsidRPr="00414ADF">
        <w:rPr>
          <w:sz w:val="21"/>
          <w:szCs w:val="21"/>
          <w:shd w:val="clear" w:color="auto" w:fill="F9F9F9"/>
        </w:rPr>
        <w:t xml:space="preserve"> III el cual cumple con los requisitos mínimos del caso y los </w:t>
      </w:r>
      <w:proofErr w:type="spellStart"/>
      <w:r w:rsidRPr="00414ADF">
        <w:rPr>
          <w:sz w:val="21"/>
          <w:szCs w:val="21"/>
          <w:shd w:val="clear" w:color="auto" w:fill="F9F9F9"/>
        </w:rPr>
        <w:t>SLAs</w:t>
      </w:r>
      <w:proofErr w:type="spellEnd"/>
      <w:r w:rsidRPr="00414ADF">
        <w:rPr>
          <w:sz w:val="21"/>
          <w:szCs w:val="21"/>
          <w:shd w:val="clear" w:color="auto" w:fill="F9F9F9"/>
        </w:rPr>
        <w:t xml:space="preserve"> requeridos para las plataformas que soportan los servicios operacionales del cliente.</w:t>
      </w:r>
    </w:p>
    <w:p w14:paraId="6261E3CE" w14:textId="77777777" w:rsidR="000062A3" w:rsidRPr="00414ADF" w:rsidRDefault="00546DD8" w:rsidP="00414ADF">
      <w:pPr>
        <w:pStyle w:val="Ttulo2"/>
        <w:rPr>
          <w:highlight w:val="white"/>
        </w:rPr>
      </w:pPr>
      <w:r w:rsidRPr="00414ADF">
        <w:rPr>
          <w:highlight w:val="white"/>
        </w:rPr>
        <w:t>Planeación</w:t>
      </w:r>
    </w:p>
    <w:p w14:paraId="606D4255" w14:textId="77777777" w:rsidR="000062A3" w:rsidRPr="00414ADF" w:rsidRDefault="00546DD8" w:rsidP="00414ADF">
      <w:pPr>
        <w:pStyle w:val="Ttulo4"/>
        <w:rPr>
          <w:color w:val="auto"/>
          <w:highlight w:val="white"/>
        </w:rPr>
      </w:pPr>
      <w:r w:rsidRPr="00414ADF">
        <w:rPr>
          <w:color w:val="auto"/>
          <w:highlight w:val="white"/>
        </w:rPr>
        <w:t>Enlaces y telecomunicaciones</w:t>
      </w:r>
    </w:p>
    <w:p w14:paraId="5A969151" w14:textId="4D51F84D" w:rsidR="000062A3" w:rsidRPr="00414ADF" w:rsidRDefault="00546DD8">
      <w:pPr>
        <w:shd w:val="clear" w:color="auto" w:fill="FFFFFF"/>
        <w:spacing w:after="300"/>
        <w:jc w:val="both"/>
        <w:rPr>
          <w:sz w:val="20"/>
          <w:szCs w:val="20"/>
          <w:highlight w:val="white"/>
        </w:rPr>
      </w:pPr>
      <w:r w:rsidRPr="00414ADF">
        <w:rPr>
          <w:sz w:val="20"/>
          <w:szCs w:val="20"/>
          <w:highlight w:val="white"/>
        </w:rPr>
        <w:t xml:space="preserve">El proveedor principal de servicio de Internet elegido para el centro de datos principal es el internacionalmente avalado </w:t>
      </w:r>
      <w:proofErr w:type="spellStart"/>
      <w:r w:rsidRPr="00414ADF">
        <w:rPr>
          <w:sz w:val="20"/>
          <w:szCs w:val="20"/>
          <w:highlight w:val="white"/>
        </w:rPr>
        <w:t>CenturyLink</w:t>
      </w:r>
      <w:proofErr w:type="spellEnd"/>
      <w:r w:rsidRPr="00414ADF">
        <w:rPr>
          <w:sz w:val="20"/>
          <w:szCs w:val="20"/>
          <w:highlight w:val="white"/>
        </w:rPr>
        <w:t xml:space="preserve"> (ISP </w:t>
      </w:r>
      <w:proofErr w:type="spellStart"/>
      <w:r w:rsidRPr="00414ADF">
        <w:rPr>
          <w:sz w:val="20"/>
          <w:szCs w:val="20"/>
          <w:highlight w:val="white"/>
        </w:rPr>
        <w:t>Tier</w:t>
      </w:r>
      <w:proofErr w:type="spellEnd"/>
      <w:r w:rsidR="005C6079" w:rsidRPr="00414ADF">
        <w:rPr>
          <w:sz w:val="20"/>
          <w:szCs w:val="20"/>
          <w:highlight w:val="white"/>
        </w:rPr>
        <w:t xml:space="preserve"> </w:t>
      </w:r>
      <w:r w:rsidRPr="00414ADF">
        <w:rPr>
          <w:sz w:val="20"/>
          <w:szCs w:val="20"/>
          <w:highlight w:val="white"/>
        </w:rPr>
        <w:t>1), nuestra asociación con esta empresa asegura una conexión directa con su galardonada red global de baja latencia y alta disponibilidad.</w:t>
      </w:r>
    </w:p>
    <w:p w14:paraId="5D51B37B" w14:textId="26E5679E" w:rsidR="000062A3" w:rsidRPr="00414ADF" w:rsidRDefault="00546DD8">
      <w:pPr>
        <w:shd w:val="clear" w:color="auto" w:fill="FFFFFF"/>
        <w:spacing w:after="300"/>
        <w:jc w:val="both"/>
        <w:rPr>
          <w:sz w:val="20"/>
          <w:szCs w:val="20"/>
          <w:highlight w:val="white"/>
        </w:rPr>
      </w:pPr>
      <w:r w:rsidRPr="00414ADF">
        <w:rPr>
          <w:sz w:val="20"/>
          <w:szCs w:val="20"/>
          <w:highlight w:val="white"/>
        </w:rPr>
        <w:t>Además, para mantener la redundancia n</w:t>
      </w:r>
      <w:r w:rsidR="00C75983" w:rsidRPr="00414ADF">
        <w:rPr>
          <w:sz w:val="20"/>
          <w:szCs w:val="20"/>
          <w:highlight w:val="white"/>
        </w:rPr>
        <w:t xml:space="preserve"> </w:t>
      </w:r>
      <w:r w:rsidRPr="00414ADF">
        <w:rPr>
          <w:sz w:val="20"/>
          <w:szCs w:val="20"/>
          <w:highlight w:val="white"/>
        </w:rPr>
        <w:t xml:space="preserve">1 de la plataforma tecnológica, hemos decidido contratar un servicio extra de conexión a internet a través de GTD Manquehue (ISP </w:t>
      </w:r>
      <w:proofErr w:type="spellStart"/>
      <w:r w:rsidRPr="00414ADF">
        <w:rPr>
          <w:sz w:val="20"/>
          <w:szCs w:val="20"/>
          <w:highlight w:val="white"/>
        </w:rPr>
        <w:t>Tier</w:t>
      </w:r>
      <w:proofErr w:type="spellEnd"/>
      <w:r w:rsidR="005C6079" w:rsidRPr="00414ADF">
        <w:rPr>
          <w:sz w:val="20"/>
          <w:szCs w:val="20"/>
          <w:highlight w:val="white"/>
        </w:rPr>
        <w:t xml:space="preserve"> </w:t>
      </w:r>
      <w:r w:rsidRPr="00414ADF">
        <w:rPr>
          <w:sz w:val="20"/>
          <w:szCs w:val="20"/>
          <w:highlight w:val="white"/>
        </w:rPr>
        <w:t xml:space="preserve">2), el cual conecta su salida a Internet con otro proveedor </w:t>
      </w:r>
      <w:proofErr w:type="spellStart"/>
      <w:r w:rsidRPr="00414ADF">
        <w:rPr>
          <w:sz w:val="20"/>
          <w:szCs w:val="20"/>
          <w:highlight w:val="white"/>
        </w:rPr>
        <w:t>Tier</w:t>
      </w:r>
      <w:proofErr w:type="spellEnd"/>
      <w:r w:rsidR="005C6079" w:rsidRPr="00414ADF">
        <w:rPr>
          <w:sz w:val="20"/>
          <w:szCs w:val="20"/>
          <w:highlight w:val="white"/>
        </w:rPr>
        <w:t xml:space="preserve"> </w:t>
      </w:r>
      <w:r w:rsidRPr="00414ADF">
        <w:rPr>
          <w:sz w:val="20"/>
          <w:szCs w:val="20"/>
          <w:highlight w:val="white"/>
        </w:rPr>
        <w:t>1 de renombre TIWS (</w:t>
      </w:r>
      <w:proofErr w:type="spellStart"/>
      <w:r w:rsidRPr="00414ADF">
        <w:rPr>
          <w:sz w:val="20"/>
          <w:szCs w:val="20"/>
          <w:highlight w:val="white"/>
        </w:rPr>
        <w:t>Telefonica</w:t>
      </w:r>
      <w:proofErr w:type="spellEnd"/>
      <w:r w:rsidRPr="00414ADF">
        <w:rPr>
          <w:sz w:val="20"/>
          <w:szCs w:val="20"/>
          <w:highlight w:val="white"/>
        </w:rPr>
        <w:t xml:space="preserve"> International </w:t>
      </w:r>
      <w:proofErr w:type="spellStart"/>
      <w:r w:rsidRPr="00414ADF">
        <w:rPr>
          <w:sz w:val="20"/>
          <w:szCs w:val="20"/>
          <w:highlight w:val="white"/>
        </w:rPr>
        <w:t>Wholesale</w:t>
      </w:r>
      <w:proofErr w:type="spellEnd"/>
      <w:r w:rsidRPr="00414ADF">
        <w:rPr>
          <w:sz w:val="20"/>
          <w:szCs w:val="20"/>
          <w:highlight w:val="white"/>
        </w:rPr>
        <w:t xml:space="preserve"> </w:t>
      </w:r>
      <w:proofErr w:type="spellStart"/>
      <w:r w:rsidRPr="00414ADF">
        <w:rPr>
          <w:sz w:val="20"/>
          <w:szCs w:val="20"/>
          <w:highlight w:val="white"/>
        </w:rPr>
        <w:t>Service</w:t>
      </w:r>
      <w:proofErr w:type="spellEnd"/>
      <w:r w:rsidRPr="00414ADF">
        <w:rPr>
          <w:sz w:val="20"/>
          <w:szCs w:val="20"/>
          <w:highlight w:val="white"/>
        </w:rPr>
        <w:t>).</w:t>
      </w:r>
    </w:p>
    <w:p w14:paraId="225F5478" w14:textId="77777777" w:rsidR="000062A3" w:rsidRPr="00414ADF" w:rsidRDefault="00546DD8" w:rsidP="00414ADF">
      <w:pPr>
        <w:pStyle w:val="Ttulo4"/>
        <w:rPr>
          <w:color w:val="auto"/>
          <w:highlight w:val="white"/>
        </w:rPr>
      </w:pPr>
      <w:r w:rsidRPr="00414ADF">
        <w:rPr>
          <w:color w:val="auto"/>
          <w:highlight w:val="white"/>
        </w:rPr>
        <w:t>Respaldo de información</w:t>
      </w:r>
    </w:p>
    <w:p w14:paraId="3E3850D1" w14:textId="77777777" w:rsidR="000062A3" w:rsidRPr="00414ADF" w:rsidRDefault="00546DD8">
      <w:pPr>
        <w:shd w:val="clear" w:color="auto" w:fill="FFFFFF"/>
        <w:spacing w:after="300"/>
        <w:jc w:val="both"/>
        <w:rPr>
          <w:sz w:val="20"/>
          <w:szCs w:val="20"/>
          <w:highlight w:val="white"/>
        </w:rPr>
      </w:pPr>
      <w:r w:rsidRPr="00414ADF">
        <w:rPr>
          <w:sz w:val="20"/>
          <w:szCs w:val="20"/>
          <w:highlight w:val="white"/>
        </w:rPr>
        <w:t xml:space="preserve">Para dar solución a los requerimientos planteados, se </w:t>
      </w:r>
      <w:proofErr w:type="gramStart"/>
      <w:r w:rsidRPr="00414ADF">
        <w:rPr>
          <w:sz w:val="20"/>
          <w:szCs w:val="20"/>
          <w:highlight w:val="white"/>
        </w:rPr>
        <w:t>eligió como</w:t>
      </w:r>
      <w:proofErr w:type="gramEnd"/>
      <w:r w:rsidRPr="00414ADF">
        <w:rPr>
          <w:sz w:val="20"/>
          <w:szCs w:val="20"/>
          <w:highlight w:val="white"/>
        </w:rPr>
        <w:t xml:space="preserve"> sistema de almacenamiento masivo de información la biblioteca de cintas </w:t>
      </w:r>
      <w:proofErr w:type="spellStart"/>
      <w:r w:rsidRPr="00414ADF">
        <w:rPr>
          <w:sz w:val="20"/>
          <w:szCs w:val="20"/>
          <w:highlight w:val="white"/>
        </w:rPr>
        <w:t>StorageTek</w:t>
      </w:r>
      <w:proofErr w:type="spellEnd"/>
      <w:r w:rsidRPr="00414ADF">
        <w:rPr>
          <w:sz w:val="20"/>
          <w:szCs w:val="20"/>
          <w:highlight w:val="white"/>
        </w:rPr>
        <w:t xml:space="preserve"> SL3000 de ORACLE.</w:t>
      </w:r>
    </w:p>
    <w:p w14:paraId="118137DF" w14:textId="77777777" w:rsidR="000062A3" w:rsidRPr="00414ADF" w:rsidRDefault="00546DD8">
      <w:pPr>
        <w:shd w:val="clear" w:color="auto" w:fill="FFFFFF"/>
        <w:spacing w:after="300"/>
        <w:jc w:val="both"/>
        <w:rPr>
          <w:sz w:val="20"/>
          <w:szCs w:val="20"/>
          <w:highlight w:val="white"/>
        </w:rPr>
      </w:pPr>
      <w:r w:rsidRPr="00414ADF">
        <w:rPr>
          <w:sz w:val="20"/>
          <w:szCs w:val="20"/>
          <w:highlight w:val="white"/>
        </w:rPr>
        <w:t xml:space="preserve">Las principales características por las cuales esta biblioteca fue elegida son: </w:t>
      </w:r>
    </w:p>
    <w:p w14:paraId="2549269A" w14:textId="56BFACAC" w:rsidR="000062A3" w:rsidRPr="00414ADF" w:rsidRDefault="00546DD8">
      <w:pPr>
        <w:numPr>
          <w:ilvl w:val="0"/>
          <w:numId w:val="5"/>
        </w:numPr>
        <w:shd w:val="clear" w:color="auto" w:fill="FFFFFF"/>
        <w:jc w:val="both"/>
        <w:rPr>
          <w:sz w:val="20"/>
          <w:szCs w:val="20"/>
          <w:highlight w:val="white"/>
        </w:rPr>
      </w:pPr>
      <w:r w:rsidRPr="00414ADF">
        <w:rPr>
          <w:sz w:val="20"/>
          <w:szCs w:val="20"/>
          <w:highlight w:val="white"/>
        </w:rPr>
        <w:t xml:space="preserve">Redundancia: El diseño en módulos de SL3000 asegura al usuario un servicio continuo, es posible comprar módulos por separados e instalar solo los necesarios para </w:t>
      </w:r>
      <w:proofErr w:type="spellStart"/>
      <w:r w:rsidRPr="00414ADF">
        <w:rPr>
          <w:sz w:val="20"/>
          <w:szCs w:val="20"/>
          <w:highlight w:val="white"/>
        </w:rPr>
        <w:t>cumplicar</w:t>
      </w:r>
      <w:proofErr w:type="spellEnd"/>
      <w:r w:rsidRPr="00414ADF">
        <w:rPr>
          <w:sz w:val="20"/>
          <w:szCs w:val="20"/>
          <w:highlight w:val="white"/>
        </w:rPr>
        <w:t xml:space="preserve"> con el nivel de up</w:t>
      </w:r>
      <w:r w:rsidR="005C6079" w:rsidRPr="00414ADF">
        <w:rPr>
          <w:sz w:val="20"/>
          <w:szCs w:val="20"/>
          <w:highlight w:val="white"/>
        </w:rPr>
        <w:t xml:space="preserve"> </w:t>
      </w:r>
      <w:r w:rsidRPr="00414ADF">
        <w:rPr>
          <w:sz w:val="20"/>
          <w:szCs w:val="20"/>
          <w:highlight w:val="white"/>
        </w:rPr>
        <w:t>time en este caso se busca una redundancia de n</w:t>
      </w:r>
      <w:r w:rsidR="00C75983" w:rsidRPr="00414ADF">
        <w:rPr>
          <w:sz w:val="20"/>
          <w:szCs w:val="20"/>
          <w:highlight w:val="white"/>
        </w:rPr>
        <w:t xml:space="preserve"> </w:t>
      </w:r>
      <w:r w:rsidRPr="00414ADF">
        <w:rPr>
          <w:sz w:val="20"/>
          <w:szCs w:val="20"/>
          <w:highlight w:val="white"/>
        </w:rPr>
        <w:t xml:space="preserve">1 en </w:t>
      </w:r>
      <w:proofErr w:type="spellStart"/>
      <w:r w:rsidRPr="00414ADF">
        <w:rPr>
          <w:sz w:val="20"/>
          <w:szCs w:val="20"/>
          <w:highlight w:val="white"/>
        </w:rPr>
        <w:t>coneccion</w:t>
      </w:r>
      <w:proofErr w:type="spellEnd"/>
      <w:r w:rsidRPr="00414ADF">
        <w:rPr>
          <w:sz w:val="20"/>
          <w:szCs w:val="20"/>
          <w:highlight w:val="white"/>
        </w:rPr>
        <w:t xml:space="preserve"> </w:t>
      </w:r>
      <w:proofErr w:type="spellStart"/>
      <w:r w:rsidRPr="00414ADF">
        <w:rPr>
          <w:sz w:val="20"/>
          <w:szCs w:val="20"/>
          <w:highlight w:val="white"/>
        </w:rPr>
        <w:t>electrica</w:t>
      </w:r>
      <w:proofErr w:type="spellEnd"/>
      <w:r w:rsidRPr="00414ADF">
        <w:rPr>
          <w:sz w:val="20"/>
          <w:szCs w:val="20"/>
          <w:highlight w:val="white"/>
        </w:rPr>
        <w:t xml:space="preserve"> y de información, las dos fácilmente logrables al precio justo. </w:t>
      </w:r>
    </w:p>
    <w:p w14:paraId="025AAB74" w14:textId="77777777" w:rsidR="000062A3" w:rsidRPr="00414ADF" w:rsidRDefault="00546DD8">
      <w:pPr>
        <w:numPr>
          <w:ilvl w:val="0"/>
          <w:numId w:val="5"/>
        </w:numPr>
        <w:shd w:val="clear" w:color="auto" w:fill="FFFFFF"/>
        <w:jc w:val="both"/>
        <w:rPr>
          <w:sz w:val="20"/>
          <w:szCs w:val="20"/>
          <w:highlight w:val="white"/>
        </w:rPr>
      </w:pPr>
      <w:r w:rsidRPr="00414ADF">
        <w:rPr>
          <w:sz w:val="20"/>
          <w:szCs w:val="20"/>
          <w:highlight w:val="white"/>
        </w:rPr>
        <w:t xml:space="preserve">Escalamiento: La biblioteca SL3000 de </w:t>
      </w:r>
      <w:proofErr w:type="spellStart"/>
      <w:r w:rsidRPr="00414ADF">
        <w:rPr>
          <w:sz w:val="20"/>
          <w:szCs w:val="20"/>
          <w:highlight w:val="white"/>
        </w:rPr>
        <w:t>oracle</w:t>
      </w:r>
      <w:proofErr w:type="spellEnd"/>
      <w:r w:rsidRPr="00414ADF">
        <w:rPr>
          <w:sz w:val="20"/>
          <w:szCs w:val="20"/>
          <w:highlight w:val="white"/>
        </w:rPr>
        <w:t xml:space="preserve"> posee la cualidad de crecer junto con la información almacenada a las necesidades de la empresa, se paga solo por lo que se usa, por lo que el gasto es paulatino y seguro. </w:t>
      </w:r>
    </w:p>
    <w:p w14:paraId="6B703BE2" w14:textId="03D34FEE" w:rsidR="000062A3" w:rsidRPr="00414ADF" w:rsidRDefault="00546DD8">
      <w:pPr>
        <w:numPr>
          <w:ilvl w:val="0"/>
          <w:numId w:val="5"/>
        </w:numPr>
        <w:shd w:val="clear" w:color="auto" w:fill="FFFFFF"/>
        <w:spacing w:after="300"/>
        <w:jc w:val="both"/>
        <w:rPr>
          <w:sz w:val="20"/>
          <w:szCs w:val="20"/>
          <w:highlight w:val="white"/>
        </w:rPr>
      </w:pPr>
      <w:r w:rsidRPr="00414ADF">
        <w:rPr>
          <w:sz w:val="20"/>
          <w:szCs w:val="20"/>
          <w:highlight w:val="white"/>
        </w:rPr>
        <w:t xml:space="preserve">Seguridad: El modelo SL3000 está preparado para la instalación de un sistema </w:t>
      </w:r>
      <w:proofErr w:type="gramStart"/>
      <w:r w:rsidRPr="00414ADF">
        <w:rPr>
          <w:sz w:val="20"/>
          <w:szCs w:val="20"/>
          <w:highlight w:val="white"/>
        </w:rPr>
        <w:t>anti</w:t>
      </w:r>
      <w:r w:rsidR="005C6079" w:rsidRPr="00414ADF">
        <w:rPr>
          <w:sz w:val="20"/>
          <w:szCs w:val="20"/>
          <w:highlight w:val="white"/>
        </w:rPr>
        <w:t xml:space="preserve"> </w:t>
      </w:r>
      <w:r w:rsidRPr="00414ADF">
        <w:rPr>
          <w:sz w:val="20"/>
          <w:szCs w:val="20"/>
          <w:highlight w:val="white"/>
        </w:rPr>
        <w:t>incendio</w:t>
      </w:r>
      <w:proofErr w:type="gramEnd"/>
      <w:r w:rsidRPr="00414ADF">
        <w:rPr>
          <w:sz w:val="20"/>
          <w:szCs w:val="20"/>
          <w:highlight w:val="white"/>
        </w:rPr>
        <w:t xml:space="preserve"> y una cámara web dentro de la misma, manteniendo la información segura y poder monitorear el estado de la biblioteca en todo momento. </w:t>
      </w:r>
    </w:p>
    <w:p w14:paraId="4BB63687" w14:textId="77777777" w:rsidR="000062A3" w:rsidRPr="00414ADF" w:rsidRDefault="00546DD8">
      <w:pPr>
        <w:shd w:val="clear" w:color="auto" w:fill="FFFFFF"/>
        <w:spacing w:after="300"/>
        <w:jc w:val="both"/>
        <w:rPr>
          <w:sz w:val="20"/>
          <w:szCs w:val="20"/>
          <w:highlight w:val="white"/>
        </w:rPr>
      </w:pPr>
      <w:r w:rsidRPr="00414ADF">
        <w:rPr>
          <w:sz w:val="20"/>
          <w:szCs w:val="20"/>
          <w:highlight w:val="white"/>
        </w:rPr>
        <w:t xml:space="preserve">Para poder instalar esta biblioteca se debe adecuar un espacio particular en el </w:t>
      </w:r>
      <w:proofErr w:type="spellStart"/>
      <w:r w:rsidRPr="00414ADF">
        <w:rPr>
          <w:sz w:val="20"/>
          <w:szCs w:val="20"/>
          <w:highlight w:val="white"/>
        </w:rPr>
        <w:t>site</w:t>
      </w:r>
      <w:proofErr w:type="spellEnd"/>
      <w:r w:rsidRPr="00414ADF">
        <w:rPr>
          <w:sz w:val="20"/>
          <w:szCs w:val="20"/>
          <w:highlight w:val="white"/>
        </w:rPr>
        <w:t xml:space="preserve"> principal, la disposición de los implementos necesario para el funcionamiento este espacio está detallado físicamente en el plano anexado, estos aseguran el correcto funcionamiento de la librería y su mantención en el tiempo. </w:t>
      </w:r>
    </w:p>
    <w:p w14:paraId="2856B954" w14:textId="76321A85" w:rsidR="000062A3" w:rsidRPr="00414ADF" w:rsidRDefault="00546DD8">
      <w:pPr>
        <w:numPr>
          <w:ilvl w:val="0"/>
          <w:numId w:val="3"/>
        </w:numPr>
        <w:shd w:val="clear" w:color="auto" w:fill="FFFFFF"/>
        <w:jc w:val="both"/>
        <w:rPr>
          <w:sz w:val="20"/>
          <w:szCs w:val="20"/>
          <w:highlight w:val="white"/>
        </w:rPr>
      </w:pPr>
      <w:r w:rsidRPr="00414ADF">
        <w:rPr>
          <w:sz w:val="20"/>
          <w:szCs w:val="20"/>
          <w:highlight w:val="white"/>
        </w:rPr>
        <w:lastRenderedPageBreak/>
        <w:t xml:space="preserve">Infraestructura: Para asegurar el funcionamiento de la biblioteca se debe instalar un piso elevado idéntico al utilizado en la sala de servidores el cual permitirá nivelar correctamente la biblioteca previniendo daños en los sistemas robóticos internos, mantener un orden para el cableado eléctrico y de información necesarios, condiciones </w:t>
      </w:r>
      <w:r w:rsidR="005C6079" w:rsidRPr="00414ADF">
        <w:rPr>
          <w:sz w:val="20"/>
          <w:szCs w:val="20"/>
          <w:highlight w:val="white"/>
        </w:rPr>
        <w:t>ambientales (</w:t>
      </w:r>
      <w:r w:rsidRPr="00414ADF">
        <w:rPr>
          <w:sz w:val="20"/>
          <w:szCs w:val="20"/>
          <w:highlight w:val="white"/>
        </w:rPr>
        <w:t>ayudando al flujo de aire) y seguridad ante sismos.</w:t>
      </w:r>
    </w:p>
    <w:p w14:paraId="22108EA7" w14:textId="77777777" w:rsidR="000062A3" w:rsidRPr="00414ADF" w:rsidRDefault="00546DD8">
      <w:pPr>
        <w:numPr>
          <w:ilvl w:val="0"/>
          <w:numId w:val="3"/>
        </w:numPr>
        <w:shd w:val="clear" w:color="auto" w:fill="FFFFFF"/>
        <w:spacing w:after="300"/>
        <w:jc w:val="both"/>
        <w:rPr>
          <w:sz w:val="20"/>
          <w:szCs w:val="20"/>
          <w:highlight w:val="white"/>
        </w:rPr>
      </w:pPr>
      <w:r w:rsidRPr="00414ADF">
        <w:rPr>
          <w:sz w:val="20"/>
          <w:szCs w:val="20"/>
          <w:highlight w:val="white"/>
        </w:rPr>
        <w:t>Control ambiental: El sistema para el control ambiental dentro de la sala de almacenamiento de información será idéntico al utilizado en la sala de servidores, este provee los niveles de humedad y mantención de la temperatura requeridos por la biblioteca. La disposición de estos dispositivos está especificada en el plano adjunto.</w:t>
      </w:r>
    </w:p>
    <w:p w14:paraId="703D6CEA" w14:textId="77777777" w:rsidR="000062A3" w:rsidRPr="00414ADF" w:rsidRDefault="00546DD8" w:rsidP="00414ADF">
      <w:pPr>
        <w:pStyle w:val="Ttulo4"/>
        <w:rPr>
          <w:color w:val="auto"/>
          <w:highlight w:val="white"/>
        </w:rPr>
      </w:pPr>
      <w:r w:rsidRPr="00414ADF">
        <w:rPr>
          <w:color w:val="auto"/>
          <w:highlight w:val="white"/>
        </w:rPr>
        <w:t>Certificación de Auditoría</w:t>
      </w:r>
    </w:p>
    <w:p w14:paraId="7F883B73" w14:textId="6E74D1E4" w:rsidR="000062A3" w:rsidRPr="00414ADF" w:rsidRDefault="00546DD8">
      <w:pPr>
        <w:shd w:val="clear" w:color="auto" w:fill="FFFFFF"/>
        <w:spacing w:after="300"/>
        <w:jc w:val="both"/>
        <w:rPr>
          <w:sz w:val="20"/>
          <w:szCs w:val="20"/>
          <w:highlight w:val="white"/>
        </w:rPr>
      </w:pPr>
      <w:r w:rsidRPr="00414ADF">
        <w:rPr>
          <w:sz w:val="20"/>
          <w:szCs w:val="20"/>
          <w:highlight w:val="white"/>
        </w:rPr>
        <w:t xml:space="preserve">Si bien el diseño del </w:t>
      </w:r>
      <w:proofErr w:type="spellStart"/>
      <w:r w:rsidRPr="00414ADF">
        <w:rPr>
          <w:sz w:val="20"/>
          <w:szCs w:val="20"/>
          <w:highlight w:val="white"/>
        </w:rPr>
        <w:t>datacenter</w:t>
      </w:r>
      <w:proofErr w:type="spellEnd"/>
      <w:r w:rsidRPr="00414ADF">
        <w:rPr>
          <w:sz w:val="20"/>
          <w:szCs w:val="20"/>
          <w:highlight w:val="white"/>
        </w:rPr>
        <w:t xml:space="preserve"> a implementar fue realizado bajo los patrones del reconocido estándar TIA</w:t>
      </w:r>
      <w:r w:rsidR="005C6079" w:rsidRPr="00414ADF">
        <w:rPr>
          <w:sz w:val="20"/>
          <w:szCs w:val="20"/>
          <w:highlight w:val="white"/>
        </w:rPr>
        <w:t xml:space="preserve"> </w:t>
      </w:r>
      <w:r w:rsidRPr="00414ADF">
        <w:rPr>
          <w:sz w:val="20"/>
          <w:szCs w:val="20"/>
          <w:highlight w:val="white"/>
        </w:rPr>
        <w:t xml:space="preserve">942 (además de otras normas internacionales respecto a la seguridad de los datos, protección contra desastres naturales, entre otros), aseguraremos la calidad del diseño a través de una auditoría y certificación a manos de EPI (Enterprise </w:t>
      </w:r>
      <w:proofErr w:type="spellStart"/>
      <w:r w:rsidRPr="00414ADF">
        <w:rPr>
          <w:sz w:val="20"/>
          <w:szCs w:val="20"/>
          <w:highlight w:val="white"/>
        </w:rPr>
        <w:t>Products</w:t>
      </w:r>
      <w:proofErr w:type="spellEnd"/>
      <w:r w:rsidRPr="00414ADF">
        <w:rPr>
          <w:sz w:val="20"/>
          <w:szCs w:val="20"/>
          <w:highlight w:val="white"/>
        </w:rPr>
        <w:t xml:space="preserve"> </w:t>
      </w:r>
      <w:proofErr w:type="spellStart"/>
      <w:r w:rsidRPr="00414ADF">
        <w:rPr>
          <w:sz w:val="20"/>
          <w:szCs w:val="20"/>
          <w:highlight w:val="white"/>
        </w:rPr>
        <w:t>Integration</w:t>
      </w:r>
      <w:proofErr w:type="spellEnd"/>
      <w:proofErr w:type="gramStart"/>
      <w:r w:rsidRPr="00414ADF">
        <w:rPr>
          <w:sz w:val="20"/>
          <w:szCs w:val="20"/>
          <w:highlight w:val="white"/>
        </w:rPr>
        <w:t>) ,</w:t>
      </w:r>
      <w:proofErr w:type="gramEnd"/>
      <w:r w:rsidRPr="00414ADF">
        <w:rPr>
          <w:sz w:val="20"/>
          <w:szCs w:val="20"/>
          <w:highlight w:val="white"/>
        </w:rPr>
        <w:t xml:space="preserve"> que es la organización de auditoría y certificación TIA</w:t>
      </w:r>
      <w:r w:rsidR="005C6079" w:rsidRPr="00414ADF">
        <w:rPr>
          <w:sz w:val="20"/>
          <w:szCs w:val="20"/>
          <w:highlight w:val="white"/>
        </w:rPr>
        <w:t xml:space="preserve"> </w:t>
      </w:r>
      <w:r w:rsidRPr="00414ADF">
        <w:rPr>
          <w:sz w:val="20"/>
          <w:szCs w:val="20"/>
          <w:highlight w:val="white"/>
        </w:rPr>
        <w:t>942 más grande del mundo.</w:t>
      </w:r>
    </w:p>
    <w:p w14:paraId="285DA117" w14:textId="77777777" w:rsidR="000062A3" w:rsidRPr="00414ADF" w:rsidRDefault="00546DD8">
      <w:pPr>
        <w:shd w:val="clear" w:color="auto" w:fill="FFFFFF"/>
        <w:spacing w:after="300"/>
        <w:jc w:val="both"/>
        <w:rPr>
          <w:sz w:val="20"/>
          <w:szCs w:val="20"/>
          <w:highlight w:val="white"/>
        </w:rPr>
      </w:pPr>
      <w:r w:rsidRPr="00414ADF">
        <w:rPr>
          <w:sz w:val="20"/>
          <w:szCs w:val="20"/>
          <w:highlight w:val="white"/>
        </w:rPr>
        <w:t>Hay dos "fases técnicas" distintas en el proceso de auditoría que se detallan a continuación:</w:t>
      </w:r>
    </w:p>
    <w:p w14:paraId="2AF9C201" w14:textId="71CCCCA1" w:rsidR="000062A3" w:rsidRPr="00414ADF" w:rsidRDefault="00546DD8">
      <w:pPr>
        <w:numPr>
          <w:ilvl w:val="0"/>
          <w:numId w:val="4"/>
        </w:numPr>
        <w:shd w:val="clear" w:color="auto" w:fill="FFFFFF"/>
        <w:jc w:val="both"/>
        <w:rPr>
          <w:sz w:val="20"/>
          <w:szCs w:val="20"/>
          <w:highlight w:val="white"/>
        </w:rPr>
      </w:pPr>
      <w:proofErr w:type="gramStart"/>
      <w:r w:rsidRPr="00414ADF">
        <w:rPr>
          <w:sz w:val="20"/>
          <w:szCs w:val="20"/>
          <w:highlight w:val="white"/>
        </w:rPr>
        <w:t>DCDV  Data</w:t>
      </w:r>
      <w:proofErr w:type="gramEnd"/>
      <w:r w:rsidRPr="00414ADF">
        <w:rPr>
          <w:sz w:val="20"/>
          <w:szCs w:val="20"/>
          <w:highlight w:val="white"/>
        </w:rPr>
        <w:t xml:space="preserve"> Centre </w:t>
      </w:r>
      <w:proofErr w:type="spellStart"/>
      <w:r w:rsidRPr="00414ADF">
        <w:rPr>
          <w:sz w:val="20"/>
          <w:szCs w:val="20"/>
          <w:highlight w:val="white"/>
        </w:rPr>
        <w:t>Design</w:t>
      </w:r>
      <w:proofErr w:type="spellEnd"/>
      <w:r w:rsidRPr="00414ADF">
        <w:rPr>
          <w:sz w:val="20"/>
          <w:szCs w:val="20"/>
          <w:highlight w:val="white"/>
        </w:rPr>
        <w:t xml:space="preserve"> </w:t>
      </w:r>
      <w:proofErr w:type="spellStart"/>
      <w:r w:rsidRPr="00414ADF">
        <w:rPr>
          <w:sz w:val="20"/>
          <w:szCs w:val="20"/>
          <w:highlight w:val="white"/>
        </w:rPr>
        <w:t>Validation</w:t>
      </w:r>
      <w:proofErr w:type="spellEnd"/>
      <w:r w:rsidRPr="00414ADF">
        <w:rPr>
          <w:sz w:val="20"/>
          <w:szCs w:val="20"/>
          <w:highlight w:val="white"/>
        </w:rPr>
        <w:t>:  El objetivo de la fase DCDV es asegurar que los dibujos de diseño propuestos para la nueva construcción estén completos y que el diseño (en papel) cumpla con los requisitos del estándar. Es una verificación en profundidad de los dibujos de diseño, en comparación con los niveles de calificación descritos en ANSI / TIA</w:t>
      </w:r>
      <w:r w:rsidR="005C6079" w:rsidRPr="00414ADF">
        <w:rPr>
          <w:sz w:val="20"/>
          <w:szCs w:val="20"/>
          <w:highlight w:val="white"/>
        </w:rPr>
        <w:t xml:space="preserve"> </w:t>
      </w:r>
      <w:r w:rsidRPr="00414ADF">
        <w:rPr>
          <w:sz w:val="20"/>
          <w:szCs w:val="20"/>
          <w:highlight w:val="white"/>
        </w:rPr>
        <w:t>942. Esta fase es especialmente importante para un centro de datos antes de la compilación para garantizar la conformidad con el estándar una vez que se haya construido el sitio. El resultado es un informe exhaustivo que indica las no</w:t>
      </w:r>
      <w:r w:rsidR="005C6079" w:rsidRPr="00414ADF">
        <w:rPr>
          <w:sz w:val="20"/>
          <w:szCs w:val="20"/>
          <w:highlight w:val="white"/>
        </w:rPr>
        <w:t xml:space="preserve"> </w:t>
      </w:r>
      <w:r w:rsidRPr="00414ADF">
        <w:rPr>
          <w:sz w:val="20"/>
          <w:szCs w:val="20"/>
          <w:highlight w:val="white"/>
        </w:rPr>
        <w:t xml:space="preserve">conformidades y sugerencias de alto nivel para mejoras. </w:t>
      </w:r>
    </w:p>
    <w:p w14:paraId="4A946140" w14:textId="7AD76C00" w:rsidR="000062A3" w:rsidRPr="00414ADF" w:rsidRDefault="00546DD8">
      <w:pPr>
        <w:numPr>
          <w:ilvl w:val="0"/>
          <w:numId w:val="4"/>
        </w:numPr>
        <w:shd w:val="clear" w:color="auto" w:fill="FFFFFF"/>
        <w:spacing w:after="300"/>
        <w:jc w:val="both"/>
        <w:rPr>
          <w:sz w:val="20"/>
          <w:szCs w:val="20"/>
          <w:highlight w:val="white"/>
        </w:rPr>
      </w:pPr>
      <w:r w:rsidRPr="00414ADF">
        <w:rPr>
          <w:sz w:val="20"/>
          <w:szCs w:val="20"/>
          <w:highlight w:val="white"/>
        </w:rPr>
        <w:t xml:space="preserve">DCCC – Data Centre </w:t>
      </w:r>
      <w:proofErr w:type="spellStart"/>
      <w:r w:rsidRPr="00414ADF">
        <w:rPr>
          <w:sz w:val="20"/>
          <w:szCs w:val="20"/>
          <w:highlight w:val="white"/>
        </w:rPr>
        <w:t>Conformity</w:t>
      </w:r>
      <w:proofErr w:type="spellEnd"/>
      <w:r w:rsidRPr="00414ADF">
        <w:rPr>
          <w:sz w:val="20"/>
          <w:szCs w:val="20"/>
          <w:highlight w:val="white"/>
        </w:rPr>
        <w:t xml:space="preserve"> </w:t>
      </w:r>
      <w:proofErr w:type="spellStart"/>
      <w:r w:rsidRPr="00414ADF">
        <w:rPr>
          <w:sz w:val="20"/>
          <w:szCs w:val="20"/>
          <w:highlight w:val="white"/>
        </w:rPr>
        <w:t>Certication</w:t>
      </w:r>
      <w:proofErr w:type="spellEnd"/>
      <w:r w:rsidRPr="00414ADF">
        <w:rPr>
          <w:sz w:val="20"/>
          <w:szCs w:val="20"/>
          <w:highlight w:val="white"/>
        </w:rPr>
        <w:t>: El objetivo de la fase DCCC es verificar que el centro de datos se haya implementado de conformidad con los diseños validados en la fase DCDV. Esta fase comprende una auditoría en el sitio de las instalaciones del centro de datos físicos en comparación con los niveles de calificación descritos en ANSI / TIA</w:t>
      </w:r>
      <w:r w:rsidR="005C6079" w:rsidRPr="00414ADF">
        <w:rPr>
          <w:sz w:val="20"/>
          <w:szCs w:val="20"/>
          <w:highlight w:val="white"/>
        </w:rPr>
        <w:t xml:space="preserve"> </w:t>
      </w:r>
      <w:r w:rsidRPr="00414ADF">
        <w:rPr>
          <w:sz w:val="20"/>
          <w:szCs w:val="20"/>
          <w:highlight w:val="white"/>
        </w:rPr>
        <w:t>942. El resultado es un informe exhaustivo que indica las no</w:t>
      </w:r>
      <w:r w:rsidR="005C6079" w:rsidRPr="00414ADF">
        <w:rPr>
          <w:sz w:val="20"/>
          <w:szCs w:val="20"/>
          <w:highlight w:val="white"/>
        </w:rPr>
        <w:t xml:space="preserve"> </w:t>
      </w:r>
      <w:r w:rsidRPr="00414ADF">
        <w:rPr>
          <w:sz w:val="20"/>
          <w:szCs w:val="20"/>
          <w:highlight w:val="white"/>
        </w:rPr>
        <w:t>conformidades (si es que las hay). Una vez que se aborden todas las no</w:t>
      </w:r>
      <w:r w:rsidR="005C6079" w:rsidRPr="00414ADF">
        <w:rPr>
          <w:sz w:val="20"/>
          <w:szCs w:val="20"/>
          <w:highlight w:val="white"/>
        </w:rPr>
        <w:t xml:space="preserve"> </w:t>
      </w:r>
      <w:r w:rsidRPr="00414ADF">
        <w:rPr>
          <w:sz w:val="20"/>
          <w:szCs w:val="20"/>
          <w:highlight w:val="white"/>
        </w:rPr>
        <w:t>conformidades, se emitirá un "Certificado de conformidad" y el centro de datos se incluirá en el sitio web ANSI / TIA</w:t>
      </w:r>
      <w:r w:rsidR="005C6079" w:rsidRPr="00414ADF">
        <w:rPr>
          <w:sz w:val="20"/>
          <w:szCs w:val="20"/>
          <w:highlight w:val="white"/>
        </w:rPr>
        <w:t xml:space="preserve"> </w:t>
      </w:r>
      <w:r w:rsidRPr="00414ADF">
        <w:rPr>
          <w:sz w:val="20"/>
          <w:szCs w:val="20"/>
          <w:highlight w:val="white"/>
        </w:rPr>
        <w:t>942.</w:t>
      </w:r>
    </w:p>
    <w:p w14:paraId="62AF3C97" w14:textId="5FF12DE8" w:rsidR="000062A3" w:rsidRPr="00414ADF" w:rsidRDefault="00546DD8">
      <w:pPr>
        <w:shd w:val="clear" w:color="auto" w:fill="FFFFFF"/>
        <w:spacing w:after="300"/>
        <w:jc w:val="both"/>
        <w:rPr>
          <w:sz w:val="20"/>
          <w:szCs w:val="20"/>
          <w:highlight w:val="white"/>
          <w:u w:val="single"/>
        </w:rPr>
      </w:pPr>
      <w:r w:rsidRPr="00414ADF">
        <w:rPr>
          <w:sz w:val="20"/>
          <w:szCs w:val="20"/>
          <w:highlight w:val="white"/>
        </w:rPr>
        <w:t>La auditoría de certificación se basa en la metodología ISO 19011 y la validez del certificado es de tres años. Para mantener la certificación, el cliente deberá someterse a una auditoría de vigilancia anual y una auditoría de recertificación al final del tercer año.</w:t>
      </w:r>
    </w:p>
    <w:sectPr w:rsidR="000062A3" w:rsidRPr="00414AD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61C9"/>
    <w:multiLevelType w:val="multilevel"/>
    <w:tmpl w:val="6E981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A770A"/>
    <w:multiLevelType w:val="multilevel"/>
    <w:tmpl w:val="2F286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24380"/>
    <w:multiLevelType w:val="multilevel"/>
    <w:tmpl w:val="6F465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5644A4"/>
    <w:multiLevelType w:val="multilevel"/>
    <w:tmpl w:val="045C7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520D26"/>
    <w:multiLevelType w:val="multilevel"/>
    <w:tmpl w:val="14DCC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2E3987"/>
    <w:multiLevelType w:val="multilevel"/>
    <w:tmpl w:val="64A0D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2A3"/>
    <w:rsid w:val="000062A3"/>
    <w:rsid w:val="00414ADF"/>
    <w:rsid w:val="00546DD8"/>
    <w:rsid w:val="005C6079"/>
    <w:rsid w:val="007024D3"/>
    <w:rsid w:val="00776E47"/>
    <w:rsid w:val="00C759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0E67"/>
  <w15:docId w15:val="{592171C0-0E54-4ADF-9BD5-A57DFB9B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46D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6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C7282-38ED-47BB-9C6B-62913B94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1425</Words>
  <Characters>7841</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Ansaldi</cp:lastModifiedBy>
  <cp:revision>13</cp:revision>
  <dcterms:created xsi:type="dcterms:W3CDTF">2020-09-11T03:39:00Z</dcterms:created>
  <dcterms:modified xsi:type="dcterms:W3CDTF">2020-09-25T00:12:00Z</dcterms:modified>
</cp:coreProperties>
</file>