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6F4" w:rsidRPr="003E36F4" w:rsidRDefault="003E36F4" w:rsidP="00CC09D6">
      <w:pPr>
        <w:jc w:val="center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Rwanda Report</w:t>
      </w:r>
    </w:p>
    <w:p w:rsidR="003E36F4" w:rsidRPr="003E36F4" w:rsidRDefault="003E36F4" w:rsidP="00CC09D6">
      <w:pPr>
        <w:jc w:val="center"/>
        <w:rPr>
          <w:rFonts w:ascii="Calibri" w:eastAsia="Times New Roman" w:hAnsi="Calibri" w:cs="Calibri"/>
          <w:color w:val="000000"/>
        </w:rPr>
      </w:pP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To understand the Energy Access in Rwanda the financial and technical support of three organizations were needed: The Energy Sector Management Assistance Program (ESMAP), The World Bank and initiative Sustainable Energy for All (</w:t>
      </w:r>
      <w:proofErr w:type="spellStart"/>
      <w:r w:rsidRPr="003E36F4">
        <w:rPr>
          <w:rFonts w:ascii="Calibri" w:eastAsia="Times New Roman" w:hAnsi="Calibri" w:cs="Calibri"/>
          <w:color w:val="000000"/>
        </w:rPr>
        <w:t>SEorALL</w:t>
      </w:r>
      <w:proofErr w:type="spellEnd"/>
      <w:r w:rsidRPr="003E36F4">
        <w:rPr>
          <w:rFonts w:ascii="Calibri" w:eastAsia="Times New Roman" w:hAnsi="Calibri" w:cs="Calibri"/>
          <w:color w:val="000000"/>
        </w:rPr>
        <w:t>).</w:t>
      </w:r>
      <w:r w:rsidRPr="003E36F4">
        <w:rPr>
          <w:rFonts w:ascii="Calibri" w:eastAsia="Times New Roman" w:hAnsi="Calibri" w:cs="Calibri"/>
          <w:color w:val="000000"/>
        </w:rPr>
        <w:br/>
      </w:r>
      <w:r w:rsidRPr="003E36F4">
        <w:rPr>
          <w:rFonts w:ascii="Calibri" w:eastAsia="Times New Roman" w:hAnsi="Calibri" w:cs="Calibri"/>
          <w:color w:val="000000"/>
        </w:rPr>
        <w:br/>
        <w:t>Based on the Multi – Tier Framework (MTF</w:t>
      </w:r>
      <w:r w:rsidR="00CC09D6">
        <w:rPr>
          <w:rFonts w:ascii="Calibri" w:eastAsia="Times New Roman" w:hAnsi="Calibri" w:cs="Calibri"/>
          <w:color w:val="000000"/>
        </w:rPr>
        <w:t>)</w:t>
      </w:r>
      <w:r w:rsidRPr="003E36F4">
        <w:rPr>
          <w:rFonts w:ascii="Calibri" w:eastAsia="Times New Roman" w:hAnsi="Calibri" w:cs="Calibri"/>
          <w:color w:val="000000"/>
        </w:rPr>
        <w:t xml:space="preserve"> ,</w:t>
      </w:r>
      <w:r w:rsidR="00CC09D6">
        <w:rPr>
          <w:rFonts w:ascii="Calibri" w:eastAsia="Times New Roman" w:hAnsi="Calibri" w:cs="Calibri"/>
          <w:color w:val="000000"/>
        </w:rPr>
        <w:t xml:space="preserve"> the survey</w:t>
      </w:r>
      <w:bookmarkStart w:id="0" w:name="_GoBack"/>
      <w:bookmarkEnd w:id="0"/>
      <w:r w:rsidRPr="003E36F4">
        <w:rPr>
          <w:rFonts w:ascii="Calibri" w:eastAsia="Times New Roman" w:hAnsi="Calibri" w:cs="Calibri"/>
          <w:color w:val="000000"/>
        </w:rPr>
        <w:t xml:space="preserve"> was run in 2016 into five provinces of Rwanda with the goal to collect information about the access of electricity in the country. </w:t>
      </w:r>
      <w:r w:rsidR="00CC09D6">
        <w:rPr>
          <w:rFonts w:ascii="Calibri" w:eastAsia="Times New Roman" w:hAnsi="Calibri" w:cs="Calibri"/>
          <w:color w:val="000000"/>
        </w:rPr>
        <w:t xml:space="preserve">A total of </w:t>
      </w:r>
      <w:r w:rsidRPr="003E36F4">
        <w:rPr>
          <w:rFonts w:ascii="Calibri" w:eastAsia="Times New Roman" w:hAnsi="Calibri" w:cs="Calibri"/>
          <w:color w:val="000000"/>
        </w:rPr>
        <w:t>3,300 households were covered in urban and rural areas. 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Method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The MTF considers any technology (including fuel based</w:t>
      </w:r>
      <w:r w:rsidR="00CC09D6">
        <w:rPr>
          <w:rFonts w:ascii="Calibri" w:eastAsia="Times New Roman" w:hAnsi="Calibri" w:cs="Calibri"/>
          <w:color w:val="000000"/>
        </w:rPr>
        <w:t xml:space="preserve"> electricity supply</w:t>
      </w:r>
      <w:r w:rsidRPr="003E36F4">
        <w:rPr>
          <w:rFonts w:ascii="Calibri" w:eastAsia="Times New Roman" w:hAnsi="Calibri" w:cs="Calibri"/>
          <w:color w:val="000000"/>
        </w:rPr>
        <w:t xml:space="preserve">), attributes, tiers and use of electricity to evaluate the energy access in </w:t>
      </w:r>
      <w:r w:rsidR="00CC09D6">
        <w:rPr>
          <w:rFonts w:ascii="Calibri" w:eastAsia="Times New Roman" w:hAnsi="Calibri" w:cs="Calibri"/>
          <w:color w:val="000000"/>
        </w:rPr>
        <w:t>a country</w:t>
      </w:r>
      <w:r w:rsidRPr="003E36F4">
        <w:rPr>
          <w:rFonts w:ascii="Calibri" w:eastAsia="Times New Roman" w:hAnsi="Calibri" w:cs="Calibri"/>
          <w:color w:val="000000"/>
        </w:rPr>
        <w:t>. These detailed energy data enable governments and other stakeholders with a holistic view of the energy challenges for policy design or implementation</w:t>
      </w:r>
      <w:r w:rsidR="00CC09D6">
        <w:rPr>
          <w:rFonts w:ascii="Calibri" w:eastAsia="Times New Roman" w:hAnsi="Calibri" w:cs="Calibri"/>
          <w:color w:val="000000"/>
        </w:rPr>
        <w:t>s</w:t>
      </w:r>
      <w:r w:rsidRPr="003E36F4">
        <w:rPr>
          <w:rFonts w:ascii="Calibri" w:eastAsia="Times New Roman" w:hAnsi="Calibri" w:cs="Calibri"/>
          <w:color w:val="000000"/>
        </w:rPr>
        <w:t>. 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Seven attributes are related to</w:t>
      </w:r>
      <w:r w:rsidR="00CC09D6">
        <w:rPr>
          <w:rFonts w:ascii="Calibri" w:eastAsia="Times New Roman" w:hAnsi="Calibri" w:cs="Calibri"/>
          <w:color w:val="000000"/>
        </w:rPr>
        <w:t xml:space="preserve"> evaluate the electricity acces</w:t>
      </w:r>
      <w:r w:rsidRPr="003E36F4">
        <w:rPr>
          <w:rFonts w:ascii="Calibri" w:eastAsia="Times New Roman" w:hAnsi="Calibri" w:cs="Calibri"/>
          <w:color w:val="000000"/>
        </w:rPr>
        <w:t xml:space="preserve">s: Capacity, Reliability, Affordability, Health &amp; Safety, Availability, Quality and Formality. The aim of this attributes is to reflect the energy supply and the user experience related to it. All of the seven attributes have their own </w:t>
      </w:r>
      <w:r w:rsidR="00CC09D6">
        <w:rPr>
          <w:rFonts w:ascii="Calibri" w:eastAsia="Times New Roman" w:hAnsi="Calibri" w:cs="Calibri"/>
          <w:color w:val="000000"/>
        </w:rPr>
        <w:t>focus of information and specific questions in the general survey.</w:t>
      </w:r>
      <w:r w:rsidRPr="003E36F4">
        <w:rPr>
          <w:rFonts w:ascii="Calibri" w:eastAsia="Times New Roman" w:hAnsi="Calibri" w:cs="Calibri"/>
          <w:color w:val="000000"/>
        </w:rPr>
        <w:br/>
      </w:r>
    </w:p>
    <w:p w:rsidR="003E36F4" w:rsidRPr="00B80139" w:rsidRDefault="003E36F4" w:rsidP="00B80139">
      <w:pPr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br/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 xml:space="preserve">Attributes </w:t>
      </w:r>
      <w:r w:rsidR="000E7D45" w:rsidRPr="00B80139">
        <w:rPr>
          <w:rFonts w:ascii="Calibri" w:eastAsia="Times New Roman" w:hAnsi="Calibri" w:cs="Calibri"/>
          <w:b/>
          <w:bCs/>
          <w:color w:val="000000"/>
          <w:u w:val="single"/>
        </w:rPr>
        <w:t>and Tiers</w:t>
      </w:r>
      <w:r w:rsidRPr="003E36F4">
        <w:rPr>
          <w:rFonts w:ascii="Calibri" w:eastAsia="Times New Roman" w:hAnsi="Calibri" w:cs="Calibri"/>
          <w:color w:val="000000"/>
        </w:rPr>
        <w:br/>
      </w:r>
      <w:r w:rsidRPr="003E36F4">
        <w:rPr>
          <w:rFonts w:ascii="Calibri" w:eastAsia="Times New Roman" w:hAnsi="Calibri" w:cs="Calibri"/>
          <w:color w:val="000000"/>
        </w:rPr>
        <w:br/>
      </w:r>
      <w:r w:rsidRPr="003E36F4">
        <w:rPr>
          <w:rFonts w:ascii="Calibri" w:eastAsia="Times New Roman" w:hAnsi="Calibri" w:cs="Calibri"/>
          <w:color w:val="000000"/>
          <w:u w:val="single"/>
        </w:rPr>
        <w:t>1. Capacity:</w:t>
      </w:r>
      <w:r w:rsidRPr="003E36F4">
        <w:rPr>
          <w:rFonts w:ascii="Calibri" w:eastAsia="Times New Roman" w:hAnsi="Calibri" w:cs="Calibri"/>
          <w:color w:val="000000"/>
        </w:rPr>
        <w:t> To know what appliances the household can power</w:t>
      </w:r>
      <w:r w:rsidR="00024257">
        <w:rPr>
          <w:rFonts w:ascii="Calibri" w:eastAsia="Times New Roman" w:hAnsi="Calibri" w:cs="Calibri"/>
          <w:color w:val="000000"/>
        </w:rPr>
        <w:t>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2. Availability:</w:t>
      </w:r>
      <w:r w:rsidRPr="003E36F4">
        <w:rPr>
          <w:rFonts w:ascii="Calibri" w:eastAsia="Times New Roman" w:hAnsi="Calibri" w:cs="Calibri"/>
          <w:color w:val="000000"/>
        </w:rPr>
        <w:t> To know if the power is available to the household when it is needed.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3. Reliability:</w:t>
      </w:r>
      <w:r w:rsidRPr="003E36F4">
        <w:rPr>
          <w:rFonts w:ascii="Calibri" w:eastAsia="Times New Roman" w:hAnsi="Calibri" w:cs="Calibri"/>
          <w:color w:val="000000"/>
        </w:rPr>
        <w:t> To know if the electric service is frequently interrupted</w:t>
      </w:r>
      <w:r w:rsidR="000E7D45" w:rsidRPr="00B80139">
        <w:rPr>
          <w:rFonts w:ascii="Calibri" w:eastAsia="Times New Roman" w:hAnsi="Calibri" w:cs="Calibri"/>
          <w:color w:val="000000"/>
        </w:rPr>
        <w:t>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4. Quality:</w:t>
      </w:r>
      <w:r w:rsidRPr="003E36F4">
        <w:rPr>
          <w:rFonts w:ascii="Calibri" w:eastAsia="Times New Roman" w:hAnsi="Calibri" w:cs="Calibri"/>
          <w:color w:val="000000"/>
        </w:rPr>
        <w:t> To know if the voltage fluctuations of the electricity access can damage the household appliances.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5. Affordability: </w:t>
      </w:r>
      <w:r w:rsidRPr="003E36F4">
        <w:rPr>
          <w:rFonts w:ascii="Calibri" w:eastAsia="Times New Roman" w:hAnsi="Calibri" w:cs="Calibri"/>
          <w:color w:val="000000"/>
        </w:rPr>
        <w:t>To know if the household income can afford to purchase the minimum amount of electricity.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6. Formality:</w:t>
      </w:r>
      <w:r w:rsidRPr="003E36F4">
        <w:rPr>
          <w:rFonts w:ascii="Calibri" w:eastAsia="Times New Roman" w:hAnsi="Calibri" w:cs="Calibri"/>
          <w:color w:val="000000"/>
        </w:rPr>
        <w:t> To know is the service is a formal or informal provider.</w:t>
      </w:r>
    </w:p>
    <w:p w:rsidR="000E7D45" w:rsidRPr="003E36F4" w:rsidRDefault="000E7D45" w:rsidP="00B80139">
      <w:pPr>
        <w:jc w:val="both"/>
        <w:rPr>
          <w:rFonts w:ascii="Calibri" w:eastAsia="Times New Roman" w:hAnsi="Calibri" w:cs="Calibri"/>
          <w:color w:val="000000"/>
        </w:rPr>
      </w:pP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  <w:u w:val="single"/>
        </w:rPr>
        <w:t>7. Health and Safety:</w:t>
      </w:r>
      <w:r w:rsidRPr="003E36F4">
        <w:rPr>
          <w:rFonts w:ascii="Calibri" w:eastAsia="Times New Roman" w:hAnsi="Calibri" w:cs="Calibri"/>
          <w:color w:val="000000"/>
        </w:rPr>
        <w:t> To know if it is safe to use the electricity services or if there were any risk injuries from using the service. </w:t>
      </w:r>
    </w:p>
    <w:p w:rsidR="003E36F4" w:rsidRPr="003E36F4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B80139" w:rsidRDefault="003E36F4" w:rsidP="00B80139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Each attribute has a tier from 0 to 5. Meaning that tier 0 is no access at all and tier 5 full access. The variables that measure the tiers change depending on the attributes.</w:t>
      </w:r>
      <w:r w:rsidR="00E31A2B" w:rsidRPr="00B80139">
        <w:rPr>
          <w:rFonts w:ascii="Calibri" w:eastAsia="Times New Roman" w:hAnsi="Calibri" w:cs="Calibri"/>
          <w:color w:val="000000"/>
        </w:rPr>
        <w:t xml:space="preserve"> The following graph shows the MTF for electricity supply.</w:t>
      </w:r>
    </w:p>
    <w:p w:rsidR="00E31A2B" w:rsidRDefault="00E31A2B" w:rsidP="003E36F4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</w:p>
    <w:p w:rsidR="00E31A2B" w:rsidRDefault="00E31A2B" w:rsidP="003E36F4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</w:p>
    <w:p w:rsidR="00E31A2B" w:rsidRDefault="00E31A2B" w:rsidP="003E36F4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</w:p>
    <w:p w:rsidR="00E31A2B" w:rsidRPr="003E36F4" w:rsidRDefault="00E31A2B" w:rsidP="003E36F4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noProof/>
          <w:color w:val="000000"/>
          <w:sz w:val="27"/>
          <w:szCs w:val="27"/>
        </w:rPr>
        <w:drawing>
          <wp:inline distT="0" distB="0" distL="0" distR="0">
            <wp:extent cx="5727700" cy="3693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8 at 4.56.1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  <w:szCs w:val="27"/>
        </w:rPr>
      </w:pPr>
      <w:r w:rsidRPr="003E36F4">
        <w:rPr>
          <w:rFonts w:ascii="Calibri" w:eastAsia="Times New Roman" w:hAnsi="Calibri" w:cs="Calibri"/>
          <w:color w:val="000000"/>
          <w:szCs w:val="27"/>
        </w:rPr>
        <w:t> </w:t>
      </w:r>
      <w:r w:rsidR="00B80139" w:rsidRPr="00B80139">
        <w:rPr>
          <w:rFonts w:ascii="Calibri" w:eastAsia="Times New Roman" w:hAnsi="Calibri" w:cs="Calibri"/>
          <w:color w:val="000000"/>
          <w:sz w:val="22"/>
          <w:szCs w:val="27"/>
        </w:rPr>
        <w:t>Source: Energy Sector Management Assistance Program. Beyond Connections. Energy Access Redefined. Technical Report 008/15.July 2015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  <w:sz w:val="27"/>
          <w:szCs w:val="27"/>
        </w:rPr>
      </w:pPr>
      <w:r w:rsidRPr="003E36F4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E31A2B" w:rsidRPr="00B80139" w:rsidRDefault="00E31A2B" w:rsidP="003E36F4">
      <w:pPr>
        <w:jc w:val="both"/>
        <w:rPr>
          <w:rFonts w:ascii="Calibri" w:eastAsia="Times New Roman" w:hAnsi="Calibri" w:cs="Calibri"/>
          <w:b/>
          <w:bCs/>
          <w:color w:val="000000"/>
          <w:u w:val="single"/>
        </w:rPr>
      </w:pP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Results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After collecting the data for each attribute and categorized them in a specific tier some conclusions were discover: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1.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Capacity:</w:t>
      </w:r>
      <w:r w:rsidRPr="003E36F4">
        <w:rPr>
          <w:rFonts w:ascii="Calibri" w:eastAsia="Times New Roman" w:hAnsi="Calibri" w:cs="Calibri"/>
          <w:color w:val="000000"/>
        </w:rPr>
        <w:t>73.2% of households are on tier 0, this means that they do not have access to any electricity source or the power capacity is less than 3 W. Meanwhile, 10.3% of households are on Tier 3, just having at least 200 W of power capacity.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2.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Availability:</w:t>
      </w:r>
      <w:r w:rsidRPr="003E36F4">
        <w:rPr>
          <w:rFonts w:ascii="Calibri" w:eastAsia="Times New Roman" w:hAnsi="Calibri" w:cs="Calibri"/>
          <w:color w:val="000000"/>
        </w:rPr>
        <w:t> 49.6% of the household receive more than 22 hours of electricity and 5.9% of the household receive less than 4 hours. The electricity in the evening (4 hours) has a major coverage – 72% of the households.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3.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Reliability:</w:t>
      </w:r>
      <w:r w:rsidRPr="003E36F4">
        <w:rPr>
          <w:rFonts w:ascii="Calibri" w:eastAsia="Times New Roman" w:hAnsi="Calibri" w:cs="Calibri"/>
          <w:color w:val="000000"/>
        </w:rPr>
        <w:t> The disruptions of energy supply from 4 to 14 interruptions is the most prominent problem in the majority of the households – 68.4% of the households. This means that most of the population Nationwide is on Tier 3.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4.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Quality:</w:t>
      </w:r>
      <w:r w:rsidRPr="003E36F4">
        <w:rPr>
          <w:rFonts w:ascii="Calibri" w:eastAsia="Times New Roman" w:hAnsi="Calibri" w:cs="Calibri"/>
          <w:color w:val="000000"/>
        </w:rPr>
        <w:t> 20.9% of the voltage electricity supply is low, meaning that most appliances in the household could not work or end damaged. 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lastRenderedPageBreak/>
        <w:t>5.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Formality</w:t>
      </w:r>
      <w:r w:rsidRPr="003E36F4">
        <w:rPr>
          <w:rFonts w:ascii="Calibri" w:eastAsia="Times New Roman" w:hAnsi="Calibri" w:cs="Calibri"/>
          <w:color w:val="000000"/>
        </w:rPr>
        <w:t>: 98.3% of the household have a formal grid connection and just 1.7% of informal grid connection. For this attribute, the MTF inferred information from indirect questions that the respondent were willing to answer.</w:t>
      </w:r>
    </w:p>
    <w:p w:rsidR="003E36F4" w:rsidRPr="003E36F4" w:rsidRDefault="003E36F4" w:rsidP="003E36F4">
      <w:pPr>
        <w:ind w:left="720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6.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Affordability: </w:t>
      </w:r>
      <w:r w:rsidRPr="003E36F4">
        <w:rPr>
          <w:rFonts w:ascii="Calibri" w:eastAsia="Times New Roman" w:hAnsi="Calibri" w:cs="Calibri"/>
          <w:color w:val="000000"/>
        </w:rPr>
        <w:t>The attribute couldn’t be calculated. The survey was not able to collect expenditure data.</w:t>
      </w:r>
    </w:p>
    <w:p w:rsidR="003E36F4" w:rsidRPr="003E36F4" w:rsidRDefault="003E36F4" w:rsidP="003E36F4">
      <w:pPr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color w:val="000000"/>
        </w:rPr>
        <w:t> </w:t>
      </w:r>
    </w:p>
    <w:p w:rsidR="003E36F4" w:rsidRPr="003E36F4" w:rsidRDefault="003E36F4" w:rsidP="003E36F4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3E36F4">
        <w:rPr>
          <w:rFonts w:ascii="Calibri" w:eastAsia="Times New Roman" w:hAnsi="Calibri" w:cs="Calibri"/>
          <w:b/>
          <w:bCs/>
          <w:color w:val="000000"/>
        </w:rPr>
        <w:t>7.</w:t>
      </w:r>
      <w:r w:rsidRPr="003E36F4">
        <w:rPr>
          <w:rFonts w:ascii="Times New Roman" w:eastAsia="Times New Roman" w:hAnsi="Times New Roman" w:cs="Times New Roman"/>
          <w:color w:val="000000"/>
        </w:rPr>
        <w:t>     </w:t>
      </w:r>
      <w:r w:rsidRPr="003E36F4">
        <w:rPr>
          <w:rFonts w:ascii="Calibri" w:eastAsia="Times New Roman" w:hAnsi="Calibri" w:cs="Calibri"/>
          <w:b/>
          <w:bCs/>
          <w:color w:val="000000"/>
          <w:u w:val="single"/>
        </w:rPr>
        <w:t>Health and Safety:</w:t>
      </w:r>
      <w:r w:rsidRPr="003E36F4">
        <w:rPr>
          <w:rFonts w:ascii="Calibri" w:eastAsia="Times New Roman" w:hAnsi="Calibri" w:cs="Calibri"/>
          <w:color w:val="000000"/>
        </w:rPr>
        <w:t> Nationwide, 95,3% of the grid connection in the household didn’t have a serious accident.</w:t>
      </w:r>
    </w:p>
    <w:p w:rsidR="0082053A" w:rsidRDefault="0082053A" w:rsidP="003E36F4">
      <w:pPr>
        <w:jc w:val="both"/>
      </w:pPr>
    </w:p>
    <w:sectPr w:rsidR="0082053A" w:rsidSect="00FB7B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7D7F"/>
    <w:multiLevelType w:val="hybridMultilevel"/>
    <w:tmpl w:val="43B6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377"/>
    <w:multiLevelType w:val="hybridMultilevel"/>
    <w:tmpl w:val="05F4C6EA"/>
    <w:lvl w:ilvl="0" w:tplc="CBB2E2D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7450C"/>
    <w:multiLevelType w:val="hybridMultilevel"/>
    <w:tmpl w:val="53381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89"/>
    <w:rsid w:val="00024257"/>
    <w:rsid w:val="000E7D45"/>
    <w:rsid w:val="001D4958"/>
    <w:rsid w:val="00227077"/>
    <w:rsid w:val="003733BE"/>
    <w:rsid w:val="003E36F4"/>
    <w:rsid w:val="00513529"/>
    <w:rsid w:val="00533620"/>
    <w:rsid w:val="005D7443"/>
    <w:rsid w:val="00631DD3"/>
    <w:rsid w:val="0082053A"/>
    <w:rsid w:val="008B3235"/>
    <w:rsid w:val="00AE1D7B"/>
    <w:rsid w:val="00B80139"/>
    <w:rsid w:val="00C231E4"/>
    <w:rsid w:val="00C67F89"/>
    <w:rsid w:val="00CC09D6"/>
    <w:rsid w:val="00DE7D00"/>
    <w:rsid w:val="00E31A2B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6A14"/>
  <w15:chartTrackingRefBased/>
  <w15:docId w15:val="{68E9710F-B422-4345-9D23-1312B299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58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3E36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2020-12-28T14:49:00Z</dcterms:created>
  <dcterms:modified xsi:type="dcterms:W3CDTF">2020-12-28T16:25:00Z</dcterms:modified>
</cp:coreProperties>
</file>