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spacing w:after="360"/>
        <w:jc w:val="center"/>
      </w:pPr>
      <w:r>
        <w:rPr>
          <w:rFonts w:ascii="Calibri" w:hAnsi="Calibri"/>
          <w:b/>
          <w:color w:val="B7791F"/>
          <w:sz w:val="22"/>
        </w:rPr>
        <w:t>RELAZIONE INDIPENDENTE</w:t>
      </w:r>
    </w:p>
    <w:p>
      <w:pPr>
        <w:spacing w:after="200"/>
        <w:jc w:val="center"/>
      </w:pPr>
      <w:r>
        <w:rPr>
          <w:rFonts w:ascii="Calibri" w:hAnsi="Calibri"/>
          <w:b/>
          <w:color w:val="17365D"/>
          <w:sz w:val="62"/>
        </w:rPr>
        <w:t>BridgeLab</w:t>
      </w:r>
    </w:p>
    <w:p>
      <w:pPr>
        <w:spacing w:after="520"/>
        <w:jc w:val="center"/>
      </w:pPr>
      <w:r>
        <w:rPr>
          <w:rFonts w:ascii="Calibri" w:hAnsi="Calibri"/>
          <w:color w:val="1F4D78"/>
          <w:sz w:val="30"/>
        </w:rPr>
        <w:t>Funzionalità, adozione, effort di sviluppo, maturità infrastrutturale e valore della licenza</w:t>
      </w:r>
    </w:p>
    <w:p>
      <w:pPr>
        <w:spacing w:after="1040"/>
        <w:jc w:val="center"/>
      </w:pPr>
      <w:r>
        <w:rPr>
          <w:rFonts w:ascii="Calibri" w:hAnsi="Calibri"/>
          <w:i/>
          <w:color w:val="667085"/>
          <w:sz w:val="22"/>
        </w:rPr>
        <w:t>Destinata al Consiglio Federale</w:t>
        <w:br/>
        <w:t>Rilevazione al 15 agosto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3120"/>
            <w:shd w:fill="EAF2F8"/>
            <w:tcMar>
              <w:top w:w="180" w:type="dxa"/>
              <w:bottom w:w="1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/>
                <w:color w:val="17365D"/>
                <w:sz w:val="36"/>
              </w:rPr>
              <w:t>1.095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667085"/>
                <w:sz w:val="18"/>
              </w:rPr>
              <w:t>utenti registrati</w:t>
            </w:r>
          </w:p>
        </w:tc>
        <w:tc>
          <w:tcPr>
            <w:tcW w:type="dxa" w:w="3120"/>
            <w:shd w:fill="EAF2F8"/>
            <w:tcMar>
              <w:top w:w="180" w:type="dxa"/>
              <w:bottom w:w="1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/>
                <w:color w:val="17365D"/>
                <w:sz w:val="36"/>
              </w:rPr>
              <w:t>8.221 h 48 m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667085"/>
                <w:sz w:val="18"/>
              </w:rPr>
              <w:t>tempo totale in app</w:t>
            </w:r>
          </w:p>
        </w:tc>
        <w:tc>
          <w:tcPr>
            <w:tcW w:type="dxa" w:w="3120"/>
            <w:shd w:fill="EAF2F8"/>
            <w:tcMar>
              <w:top w:w="180" w:type="dxa"/>
              <w:bottom w:w="1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/>
                <w:color w:val="17365D"/>
                <w:sz w:val="36"/>
              </w:rPr>
              <w:t>€216 mila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667085"/>
                <w:sz w:val="18"/>
              </w:rPr>
              <w:t>valore centrale stimato</w:t>
            </w:r>
          </w:p>
        </w:tc>
      </w:tr>
    </w:tbl>
    <w:p>
      <w:pPr>
        <w:spacing w:before="1080"/>
        <w:jc w:val="center"/>
      </w:pPr>
      <w:r>
        <w:rPr>
          <w:rFonts w:ascii="Calibri" w:hAnsi="Calibri"/>
          <w:color w:val="667085"/>
          <w:sz w:val="18"/>
        </w:rPr>
        <w:t>Documento privo di dati personali • valori misurati, calcolati o stimati distintamente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Sintesi esecutiva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E8F5EE"/>
            <w:tcBorders>
              <w:left w:val="single" w:sz="18" w:color="276749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before="20" w:after="40" w:line="259" w:lineRule="auto"/>
            </w:pPr>
            <w:r/>
            <w:r>
              <w:rPr>
                <w:rFonts w:ascii="Calibri" w:hAnsi="Calibri"/>
                <w:b/>
                <w:color w:val="276749"/>
                <w:sz w:val="21"/>
              </w:rPr>
              <w:t xml:space="preserve">CONCLUSIONE  </w:t>
            </w:r>
            <w:r>
              <w:rPr>
                <w:rFonts w:ascii="Calibri" w:hAnsi="Calibri"/>
                <w:color w:val="1F2937"/>
                <w:sz w:val="21"/>
              </w:rPr>
              <w:t>BridgeLab è una piattaforma verticale già operativa, con contenuti, gioco, strumenti per istruttori e infrastruttura di livello produttivo. Il valore attuale centrale del pacchetto contrattuale — tre anni all-inclusive più licenza italiana a tempo indeterminato — è stimato in €216.268, con un intervallo prudenziale di €81.000–€450.602.</w:t>
            </w:r>
          </w:p>
        </w:tc>
      </w:tr>
    </w:tbl>
    <w:p>
      <w:pPr>
        <w:spacing w:after="40"/>
      </w:pPr>
    </w:p>
    <w:p>
      <w:pPr>
        <w:keepNext w:val="0"/>
        <w:keepLines w:val="0"/>
        <w:spacing w:before="0" w:after="120" w:line="264" w:lineRule="auto"/>
      </w:pPr>
      <w:r>
        <w:rPr>
          <w:rFonts w:ascii="Calibri" w:hAnsi="Calibri"/>
          <w:i w:val="0"/>
          <w:color w:val="1F2937"/>
          <w:sz w:val="22"/>
        </w:rPr>
        <w:t>Il prodotto non va valutato soltanto per quanto costerebbe riscriverlo. Il beneficio per la Federazione deriva dalla disponibilità immediata di una piattaforma specialistica, dall'uso già osservato, dall'esclusiva italiana per finalità istituzionali e didattiche, dai servizi gratuiti fino al 31 dicembre 2029 e dalla continuità sul codice prevista dal contratto.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3384"/>
        <w:gridCol w:w="4032"/>
      </w:tblGrid>
      <w:tr>
        <w:trPr>
          <w:tblHeader w:val="true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Indicatore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Evidenza aggiornata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Lettura direzionale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Prodotto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81 pagine, 102 componenti, 22 famiglie di flusso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Piattaforma completa, non dimostrativa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Contenuti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4 corsi, 49 lezioni, 199 moduli vivi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Catalogo didattico già utilizzabile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Adozione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1.095 utenti; 60.773 partite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Uso reale e ripetuto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Tempo in app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8.221 h 48 m; media 450 minuti/utente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Profondità d'uso, non sola registrazione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Qualità tecnica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3,42/5; 990 test superati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Buona maturità con rischi ancora gestibili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Effort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329 commit; 68,09% fuori dalla finestra feriale 09–18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Sviluppo fortemente concentrato ed extra-orario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Valore contratto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€216.268 centrale; €81.000–€450.602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Valore d'uso, non costo di sostituzione</w:t>
            </w:r>
          </w:p>
        </w:tc>
      </w:tr>
    </w:tbl>
    <w:p>
      <w:pPr>
        <w:spacing w:after="20"/>
      </w:pPr>
    </w:p>
    <w:p>
      <w:pPr>
        <w:spacing w:before="80" w:after="120"/>
      </w:pPr>
      <w:r>
        <w:rPr>
          <w:rFonts w:ascii="Calibri" w:hAnsi="Calibri"/>
          <w:i/>
          <w:color w:val="667085"/>
          <w:sz w:val="17"/>
        </w:rPr>
        <w:t>Fonti: repository al commit 477d2cd6; dashboard amministrativa aggiornata alle 21:14:18; contratto di licenza in bozza; calcoli riproducibili in appendice.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1. Analisi completa delle funzionalità</w:t>
      </w:r>
    </w:p>
    <w:p>
      <w:pPr>
        <w:keepNext w:val="0"/>
        <w:keepLines w:val="0"/>
        <w:spacing w:before="0" w:after="120" w:line="264" w:lineRule="auto"/>
      </w:pPr>
      <w:r>
        <w:rPr>
          <w:rFonts w:ascii="Calibri" w:hAnsi="Calibri"/>
          <w:i w:val="0"/>
          <w:color w:val="1F2937"/>
          <w:sz w:val="22"/>
        </w:rPr>
        <w:t>BridgeLab riunisce in un unico ambiente ciò che, sul mercato, è spesso distribuito tra corso online, motore di gioco, strumenti per l'istruttore e comunità. La completezza non è omogenea: il nucleo didattico e di gioco ha uso consolidato; alcune funzioni collaborative introdotte di recente sono tecnicamente complete ma ancora poco utilizzate.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1.1 Apprendimento strutturato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Quattro corsi organizzati in 16 mondi, con 49 lezioni e 199 moduli nel catalogo operativo.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Contenuti teorici, esempi, regole, esercizi e cinque tipologie di quiz integrate nelle lezioni.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111 domande di comprensione, 31 esercizi di eserciziario, 32 scenari “Trova l'errore”, 32 scenari d'impasse e 20 scenari di pratica dichiarativa.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Glossario di 49 voci, progressione per prerequisiti, completamenti, ripasso degli errori e ripetizione dilazionata.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1.2 Gioco, allenamento e analisi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Gioco completo della smazzata con dichiarazione, carta, dummy, prese, punteggio, risultato e analisi finale.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272 mani di catalogo con analisi double-dummy e 1.504 mani generate/condivise con distribuzioni di valore atteso.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Modalità di pratica: smazzata, sfida, mano del giorno, conta veloce, quiz lampo, memory, impasse, dichiarazione, mano guidata, pratica licita e compiti.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Confronto sullo stesso board, sfide tra amici, sfide a coppie, tornei di licita e classifiche.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Integrazione con DDS per l'analisi esatta e con BEN per suggerimenti e gioco automatico, con timeout e fallback.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1.3 Scuola, istruttori e comunità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4680"/>
        <w:gridCol w:w="288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Area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Funzioni disponibili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Evidenza d'uso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Portale istruttori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Classi, compiti, chat, classifiche, archivio, studio mani, lavagna e dispense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16 istruttori, 16 classi, 52 allievi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Generazione mani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Vincoli, double-dummy, par, PBN e assegnazione alla classe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Implementata; uso non isolato nell'allegato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Tavolo live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Posti, carte nascoste, gioco condiviso, reveal e fallback polling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Uso iniziale: 1 tavolo nella rilevazione tecnica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Comunità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Amici, forum, circoli, ricerca compagno, sfide e leaderboard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Uso osservato sui flussi storici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Amministrazione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Dashboard, consensi, segmentazione, richieste istruttore, account e comunicazioni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Dashboard operativa aggiornata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1.4 Completezza effettiva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84"/>
        <w:gridCol w:w="1656"/>
        <w:gridCol w:w="4320"/>
      </w:tblGrid>
      <w:tr>
        <w:trPr>
          <w:tblHeader w:val="true"/>
          <w:cantSplit w:val="true"/>
        </w:trPr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</w:r>
            <w:r>
              <w:rPr>
                <w:rFonts w:ascii="Calibri" w:hAnsi="Calibri"/>
                <w:b/>
                <w:color w:val="17365D"/>
                <w:sz w:val="19"/>
              </w:rPr>
              <w:t>Stato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color w:val="17365D"/>
                <w:sz w:val="19"/>
              </w:rPr>
            </w:r>
            <w:r>
              <w:rPr>
                <w:rFonts w:ascii="Calibri" w:hAnsi="Calibri"/>
                <w:b/>
                <w:color w:val="17365D"/>
                <w:sz w:val="19"/>
              </w:rPr>
              <w:t>Numero di famiglie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</w:r>
            <w:r>
              <w:rPr>
                <w:rFonts w:ascii="Calibri" w:hAnsi="Calibri"/>
                <w:b/>
                <w:color w:val="17365D"/>
                <w:sz w:val="19"/>
              </w:rPr>
              <w:t>Interpretazione</w:t>
            </w:r>
          </w:p>
        </w:tc>
      </w:tr>
      <w:tr>
        <w:trPr>
          <w:cantSplit w:val="true"/>
        </w:trPr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Funzionanti con uso osservato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11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Nucleo didattico, gioco, socialità, classi e ripasso</w:t>
            </w:r>
          </w:p>
        </w:tc>
      </w:tr>
      <w:tr>
        <w:trPr>
          <w:cantSplit w:val="true"/>
        </w:trPr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Implementate, uso non misurato separatamente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6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Percorso completo nel codice, metrica specifica assente</w:t>
            </w:r>
          </w:p>
        </w:tc>
      </w:tr>
      <w:tr>
        <w:trPr>
          <w:cantSplit w:val="true"/>
        </w:trPr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Con uso iniziale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Tavolo live, campo condiviso e torneo di licita</w:t>
            </w:r>
          </w:p>
        </w:tc>
      </w:tr>
      <w:tr>
        <w:trPr>
          <w:cantSplit w:val="true"/>
        </w:trPr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Implementate senza uso osservato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Licita a due e sfida a coppie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EAF2F8"/>
            <w:tcBorders>
              <w:left w:val="single" w:sz="18" w:color="2E74B5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before="20" w:after="40" w:line="259" w:lineRule="auto"/>
            </w:pPr>
            <w:r/>
            <w:r>
              <w:rPr>
                <w:rFonts w:ascii="Calibri" w:hAnsi="Calibri"/>
                <w:b/>
                <w:color w:val="2E74B5"/>
                <w:sz w:val="21"/>
              </w:rPr>
              <w:t xml:space="preserve">LETTURA  </w:t>
            </w:r>
            <w:r>
              <w:rPr>
                <w:rFonts w:ascii="Calibri" w:hAnsi="Calibri"/>
                <w:color w:val="1F2937"/>
                <w:sz w:val="21"/>
              </w:rPr>
              <w:t>La piattaforma è completa nel nucleo che genera oggi la maggior parte dell'utilizzo. Le funzioni più recenti rappresentano valore opzionale e potenziale, non ancora pienamente dimostrato dall'adozione.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2. Effort di sviluppo e lavoro extra-orario</w:t>
      </w:r>
    </w:p>
    <w:p>
      <w:pPr>
        <w:keepNext w:val="0"/>
        <w:keepLines w:val="0"/>
        <w:spacing w:before="0" w:after="120" w:line="264" w:lineRule="auto"/>
      </w:pPr>
      <w:r>
        <w:rPr>
          <w:rFonts w:ascii="Calibri" w:hAnsi="Calibri"/>
          <w:i w:val="0"/>
          <w:color w:val="1F2937"/>
          <w:sz w:val="22"/>
        </w:rPr>
        <w:t>La storia Git è la fonte più oggettiva disponibile per descrivere continuità e intensità del lavoro. Non equivale a un timesheet: un commit registra un risultato, ma non le ore di progettazione, analisi, debug o preparazione che lo precedono.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52"/>
        <w:gridCol w:w="2232"/>
        <w:gridCol w:w="4176"/>
      </w:tblGrid>
      <w:tr>
        <w:trPr>
          <w:tblHeader w:val="true"/>
          <w:cantSplit w:val="true"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</w:r>
            <w:r>
              <w:rPr>
                <w:rFonts w:ascii="Calibri" w:hAnsi="Calibri"/>
                <w:b/>
                <w:color w:val="17365D"/>
                <w:sz w:val="19"/>
              </w:rPr>
              <w:t>Metrica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color w:val="17365D"/>
                <w:sz w:val="19"/>
              </w:rPr>
            </w:r>
            <w:r>
              <w:rPr>
                <w:rFonts w:ascii="Calibri" w:hAnsi="Calibri"/>
                <w:b/>
                <w:color w:val="17365D"/>
                <w:sz w:val="19"/>
              </w:rPr>
              <w:t>Risultato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</w:r>
            <w:r>
              <w:rPr>
                <w:rFonts w:ascii="Calibri" w:hAnsi="Calibri"/>
                <w:b/>
                <w:color w:val="17365D"/>
                <w:sz w:val="19"/>
              </w:rPr>
              <w:t>Significato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Commit complessivi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329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328 attribuiti allo sviluppatore principale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Periodo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8 febbraio–15 agosto 2026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Sviluppo concentrato in poco più di sei mesi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Giorni con almeno un commit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57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Presenza distribuita nel calendario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Sessioni ricostruite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102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Nuova sessione dopo oltre 90 minuti di intervallo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Ore ricostruite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127,84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Limite inferiore, non effort totale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Dimensione mediana commit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168 righe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Indicatore di ampiezza media delle consegne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5806440" cy="2709672"/>
            <wp:docPr id="1" name="Picture 1" title="Grafico a barre dei commit per giorno della settimana, suddivisi nelle quattro fasce orarie 00–05, 06–11, 12–17 e 18–23." descr="Grafico a barre dei commit per giorno della settimana, suddivisi nelle quattro fasce orarie 00–05, 06–11, 12–17 e 18–2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_work_patter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09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67085"/>
          <w:sz w:val="17"/>
        </w:rPr>
        <w:t>Figura 1 — Commit per giorno e fascia oraria, fuso Europe/Rome.</w:t>
      </w:r>
    </w:p>
    <w:p>
      <w:r>
        <w:br w:type="page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112"/>
        <w:gridCol w:w="1656"/>
        <w:gridCol w:w="2592"/>
      </w:tblGrid>
      <w:tr>
        <w:trPr>
          <w:tblHeader w:val="true"/>
          <w:cantSplit w:val="true"/>
        </w:trPr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</w:r>
            <w:r>
              <w:rPr>
                <w:rFonts w:ascii="Calibri" w:hAnsi="Calibri"/>
                <w:b/>
                <w:color w:val="17365D"/>
                <w:sz w:val="19"/>
              </w:rPr>
              <w:t>Indicatore extra-orario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color w:val="17365D"/>
                <w:sz w:val="19"/>
              </w:rPr>
            </w:r>
            <w:r>
              <w:rPr>
                <w:rFonts w:ascii="Calibri" w:hAnsi="Calibri"/>
                <w:b/>
                <w:color w:val="17365D"/>
                <w:sz w:val="19"/>
              </w:rPr>
              <w:t>Commit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color w:val="17365D"/>
                <w:sz w:val="19"/>
              </w:rPr>
            </w:r>
            <w:r>
              <w:rPr>
                <w:rFonts w:ascii="Calibri" w:hAnsi="Calibri"/>
                <w:b/>
                <w:color w:val="17365D"/>
                <w:sz w:val="19"/>
              </w:rPr>
              <w:t>Quota</w:t>
            </w:r>
          </w:p>
        </w:tc>
      </w:tr>
      <w:tr>
        <w:trPr>
          <w:cantSplit w:val="true"/>
        </w:trPr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Sabato o domenica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86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26,14%</w:t>
            </w:r>
          </w:p>
        </w:tc>
      </w:tr>
      <w:tr>
        <w:trPr>
          <w:cantSplit w:val="true"/>
        </w:trPr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Dalle 18:00 alle 05:59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161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48,94%</w:t>
            </w:r>
          </w:p>
        </w:tc>
      </w:tr>
      <w:tr>
        <w:trPr>
          <w:cantSplit w:val="true"/>
        </w:trPr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Weekend o feriale fuori 09:00–17:59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224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68,09%</w:t>
            </w:r>
          </w:p>
        </w:tc>
      </w:tr>
    </w:tbl>
    <w:p>
      <w:pPr>
        <w:spacing w:after="20"/>
      </w:pPr>
    </w:p>
    <w:p>
      <w:pPr>
        <w:keepNext w:val="0"/>
        <w:keepLines w:val="0"/>
        <w:spacing w:before="0" w:after="120" w:line="264" w:lineRule="auto"/>
      </w:pPr>
      <w:r>
        <w:rPr>
          <w:rFonts w:ascii="Calibri" w:hAnsi="Calibri"/>
          <w:i w:val="0"/>
          <w:color w:val="1F2937"/>
          <w:sz w:val="22"/>
        </w:rPr>
        <w:t>I 57 giorni attivi comprendono 18 giorni di weekend e 39 feriali. Domenica conta 50 commit e sabato 36; la fascia 18:00–23:59 è la più popolata con 103 commit, seguita dalla fascia 12:00–17:59 con 102.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FFF8E8"/>
            <w:tcBorders>
              <w:left w:val="single" w:sz="18" w:color="B7791F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before="20" w:after="40" w:line="259" w:lineRule="auto"/>
            </w:pPr>
            <w:r/>
            <w:r>
              <w:rPr>
                <w:rFonts w:ascii="Calibri" w:hAnsi="Calibri"/>
                <w:b/>
                <w:color w:val="B7791F"/>
                <w:sz w:val="21"/>
              </w:rPr>
              <w:t xml:space="preserve">INTERPRETAZIONE PRUDENTE  </w:t>
            </w:r>
            <w:r>
              <w:rPr>
                <w:rFonts w:ascii="Calibri" w:hAnsi="Calibri"/>
                <w:color w:val="1F2937"/>
                <w:sz w:val="21"/>
              </w:rPr>
              <w:t>Il 68,09% è un proxy di attività fuori da una finestra lavorativa convenzionale, non prova ore contrattuali né misura la fatica personale. Dimostra però che una quota maggioritaria delle consegne è avvenuta di sera, di notte, al mattino presto o nel fine settimana.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1066"/>
        <w:gridCol w:w="1066"/>
        <w:gridCol w:w="1066"/>
        <w:gridCol w:w="1066"/>
        <w:gridCol w:w="1066"/>
        <w:gridCol w:w="1066"/>
        <w:gridCol w:w="1020"/>
      </w:tblGrid>
      <w:tr>
        <w:trPr>
          <w:tblHeader w:val="true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Mese 2026</w:t>
            </w:r>
          </w:p>
        </w:tc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color w:val="17365D"/>
                <w:sz w:val="18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Feb</w:t>
            </w:r>
          </w:p>
        </w:tc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color w:val="17365D"/>
                <w:sz w:val="18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Mar</w:t>
            </w:r>
          </w:p>
        </w:tc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color w:val="17365D"/>
                <w:sz w:val="18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Apr</w:t>
            </w:r>
          </w:p>
        </w:tc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color w:val="17365D"/>
                <w:sz w:val="18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Mag</w:t>
            </w:r>
          </w:p>
        </w:tc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color w:val="17365D"/>
                <w:sz w:val="18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Giu</w:t>
            </w:r>
          </w:p>
        </w:tc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color w:val="17365D"/>
                <w:sz w:val="18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Lug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color w:val="17365D"/>
                <w:sz w:val="18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Ago*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Commit</w:t>
            </w:r>
          </w:p>
        </w:tc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53</w:t>
            </w:r>
          </w:p>
        </w:tc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96</w:t>
            </w:r>
          </w:p>
        </w:tc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7</w:t>
            </w:r>
          </w:p>
        </w:tc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21</w:t>
            </w:r>
          </w:p>
        </w:tc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20</w:t>
            </w:r>
          </w:p>
        </w:tc>
        <w:tc>
          <w:tcPr>
            <w:tcW w:type="dxa" w:w="1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14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118</w:t>
            </w:r>
          </w:p>
        </w:tc>
      </w:tr>
    </w:tbl>
    <w:p>
      <w:pPr>
        <w:spacing w:after="20"/>
      </w:pPr>
    </w:p>
    <w:p>
      <w:pPr>
        <w:spacing w:before="80" w:after="120"/>
      </w:pPr>
      <w:r>
        <w:rPr>
          <w:rFonts w:ascii="Calibri" w:hAnsi="Calibri"/>
          <w:i/>
          <w:color w:val="667085"/>
          <w:sz w:val="17"/>
        </w:rPr>
        <w:t>* Agosto fino al 15. I 118 commit evidenziano una fase finale particolarmente intensa.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3. Crescita, utenti e profondità d'uso</w:t>
      </w:r>
    </w:p>
    <w:p>
      <w:pPr>
        <w:keepNext w:val="0"/>
        <w:keepLines w:val="0"/>
        <w:spacing w:before="0" w:after="120" w:line="264" w:lineRule="auto"/>
      </w:pPr>
      <w:r>
        <w:rPr>
          <w:rFonts w:ascii="Calibri" w:hAnsi="Calibri"/>
          <w:i w:val="0"/>
          <w:color w:val="1F2937"/>
          <w:sz w:val="22"/>
        </w:rPr>
        <w:t>La dashboard amministrativa aggiornata alle 21:14:18 mostra che l'utilizzo non si limita alle registrazioni: sono presenti tempo accumulato, attività quotidiana, partite e una base di istruttori e classi. Tutti i dati riportati sono aggregati; nessuna informazione personale è stata trasferita nella relazione.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52"/>
        <w:gridCol w:w="3384"/>
        <w:gridCol w:w="3024"/>
      </w:tblGrid>
      <w:tr>
        <w:trPr>
          <w:tblHeader w:val="true"/>
          <w:cantSplit w:val="true"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Indicatore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Valore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Lettura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Utenti registrati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1.095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Base complessiva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Nuovi utenti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3 oggi • 12 in 7 gg • 49 in 30 gg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+4,68% rispetto alla base iniziale dei 30 giorni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Utenti attivi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79 oggi • 133 in 7 gg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7,21% e 12,15% della base registrata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Attività giornaliera, 14 gg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media 67,14 • minimo 57 • massimo 79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Andamento stabile nel periodo breve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Tempo complessivo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8.221 h 48 m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493.308 minuti aggregati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Tempo medio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450 minuti per utente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Circa 7 ore e 30 minuti per registrato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Retention a 7 giorni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11%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Metrica operativa della dashboard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5806440" cy="2504027"/>
            <wp:docPr id="2" name="Picture 2" title="Grafico lineare degli utenti attivi giornalieri negli ultimi quattordici giorni, da un minimo di 57 a un massimo di 79." descr="Grafico lineare degli utenti attivi giornalieri negli ultimi quattordici giorni, da un minimo di 57 a un massimo di 79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_ac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04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67085"/>
          <w:sz w:val="17"/>
        </w:rPr>
        <w:t>Figura 2 — Attivi giornalieri: media 67,14, intervallo 57–79.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3.1 Attività di gioco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544"/>
        <w:gridCol w:w="3816"/>
      </w:tblGrid>
      <w:tr>
        <w:trPr>
          <w:tblHeader w:val="true"/>
          <w:cantSplit w:val="true"/>
        </w:trPr>
        <w:tc>
          <w:tcPr>
            <w:tcW w:type="dxa" w:w="55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</w:r>
            <w:r>
              <w:rPr>
                <w:rFonts w:ascii="Calibri" w:hAnsi="Calibri"/>
                <w:b/>
                <w:color w:val="17365D"/>
                <w:sz w:val="19"/>
              </w:rPr>
              <w:t>Metrica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color w:val="17365D"/>
                <w:sz w:val="19"/>
              </w:rPr>
            </w:r>
            <w:r>
              <w:rPr>
                <w:rFonts w:ascii="Calibri" w:hAnsi="Calibri"/>
                <w:b/>
                <w:color w:val="17365D"/>
                <w:sz w:val="19"/>
              </w:rPr>
              <w:t>Valore</w:t>
            </w:r>
          </w:p>
        </w:tc>
      </w:tr>
      <w:tr>
        <w:trPr>
          <w:cantSplit w:val="true"/>
        </w:trPr>
        <w:tc>
          <w:tcPr>
            <w:tcW w:type="dxa" w:w="55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Partite complessive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60.773</w:t>
            </w:r>
          </w:p>
        </w:tc>
      </w:tr>
      <w:tr>
        <w:trPr>
          <w:cantSplit w:val="true"/>
        </w:trPr>
        <w:tc>
          <w:tcPr>
            <w:tcW w:type="dxa" w:w="55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Mani giocate, indicatore dashboard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38.891</w:t>
            </w:r>
          </w:p>
        </w:tc>
      </w:tr>
      <w:tr>
        <w:trPr>
          <w:cantSplit w:val="true"/>
        </w:trPr>
        <w:tc>
          <w:tcPr>
            <w:tcW w:type="dxa" w:w="55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Partite negli ultimi 7 giorni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2.566</w:t>
            </w:r>
          </w:p>
        </w:tc>
      </w:tr>
      <w:tr>
        <w:trPr>
          <w:cantSplit w:val="true"/>
        </w:trPr>
        <w:tc>
          <w:tcPr>
            <w:tcW w:type="dxa" w:w="55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Partite nel giorno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389</w:t>
            </w:r>
          </w:p>
        </w:tc>
      </w:tr>
      <w:tr>
        <w:trPr>
          <w:cantSplit w:val="true"/>
        </w:trPr>
        <w:tc>
          <w:tcPr>
            <w:tcW w:type="dxa" w:w="55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Giocatori unici complessivi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665</w:t>
            </w:r>
          </w:p>
        </w:tc>
      </w:tr>
      <w:tr>
        <w:trPr>
          <w:cantSplit w:val="true"/>
        </w:trPr>
        <w:tc>
          <w:tcPr>
            <w:tcW w:type="dxa" w:w="55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Giocatori negli ultimi 7 giorni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106</w:t>
            </w:r>
          </w:p>
        </w:tc>
      </w:tr>
      <w:tr>
        <w:trPr>
          <w:cantSplit w:val="true"/>
        </w:trPr>
        <w:tc>
          <w:tcPr>
            <w:tcW w:type="dxa" w:w="55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Quota smazzate + sfide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74,11% delle partite</w:t>
            </w:r>
          </w:p>
        </w:tc>
      </w:tr>
      <w:tr>
        <w:trPr>
          <w:cantSplit w:val="true"/>
        </w:trPr>
        <w:tc>
          <w:tcPr>
            <w:tcW w:type="dxa" w:w="55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XP complessivo / medio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7.345.518 / 6.708</w:t>
            </w:r>
          </w:p>
        </w:tc>
      </w:tr>
      <w:tr>
        <w:trPr>
          <w:cantSplit w:val="true"/>
        </w:trPr>
        <w:tc>
          <w:tcPr>
            <w:tcW w:type="dxa" w:w="55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Streak massimo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98</w:t>
            </w:r>
          </w:p>
        </w:tc>
      </w:tr>
    </w:tbl>
    <w:p>
      <w:pPr>
        <w:spacing w:after="20"/>
      </w:pPr>
    </w:p>
    <w:p>
      <w:pPr>
        <w:keepNext w:val="0"/>
        <w:keepLines w:val="0"/>
        <w:spacing w:before="0" w:after="120" w:line="264" w:lineRule="auto"/>
      </w:pPr>
      <w:r>
        <w:rPr>
          <w:rFonts w:ascii="Calibri" w:hAnsi="Calibri"/>
          <w:i w:val="0"/>
          <w:color w:val="1F2937"/>
          <w:sz w:val="22"/>
        </w:rPr>
        <w:t>Le due modalità principali sono le smazzate complete, con 34.062 risultati, e le sfide fra utenti, con 10.978. Seguono mano del giorno (3.591), conta veloce (2.583), quiz lampo (1.913) e memory (1.876). La somma delle 13 categorie riportate dalla dashboard coincide con 60.773 partite.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3.2 Profilo e canali di accesso</w:t>
      </w:r>
    </w:p>
    <w:p>
      <w:pPr>
        <w:keepNext w:val="0"/>
        <w:keepLines w:val="0"/>
        <w:spacing w:before="0" w:after="120" w:line="264" w:lineRule="auto"/>
      </w:pPr>
      <w:r>
        <w:rPr>
          <w:rFonts w:ascii="Calibri" w:hAnsi="Calibri"/>
          <w:i w:val="0"/>
          <w:color w:val="1F2937"/>
          <w:sz w:val="22"/>
        </w:rPr>
        <w:t>Il pubblico registrato è composto per il 64% da profili senior, per il 31% da adulti e per il 5% da giovani; i profili junior risultano pari a zero nella rilevazione. Negli ultimi 30 giorni web e PWA rappresentano insieme il 90% degli accessi, iOS il 9% e Android lo 0%. Questi dati confermano l'adeguatezza del canale web/PWA, ma indicano uno spazio di miglioramento sul mobile nativo e sul reclutamento giovanile.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4. Punti di forza rispetto ai concorrenti</w:t>
      </w:r>
    </w:p>
    <w:p>
      <w:pPr>
        <w:keepNext w:val="0"/>
        <w:keepLines w:val="0"/>
        <w:spacing w:before="0" w:after="120" w:line="264" w:lineRule="auto"/>
      </w:pPr>
      <w:r>
        <w:rPr>
          <w:rFonts w:ascii="Calibri" w:hAnsi="Calibri"/>
          <w:i w:val="0"/>
          <w:color w:val="1F2937"/>
          <w:sz w:val="22"/>
        </w:rPr>
        <w:t>Il confronto non attribuisce a BridgeLab una superiorità assoluta. Funbridge e BBO dispongono di comunità internazionali, intelligenze di gioco mature e ampia disponibilità multipiattaforma. Il vantaggio di BridgeLab è diverso: integrazione verticale con la didattica federale, controllo istituzionale e capacità di modificare il prodotto sul processo italiano.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2880"/>
        <w:gridCol w:w="2592"/>
        <w:gridCol w:w="2016"/>
      </w:tblGrid>
      <w:tr>
        <w:trPr>
          <w:tblHeader w:val="true"/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6"/>
              </w:rPr>
            </w:r>
            <w:r>
              <w:rPr>
                <w:rFonts w:ascii="Calibri" w:hAnsi="Calibri"/>
                <w:b/>
                <w:color w:val="17365D"/>
                <w:sz w:val="16"/>
              </w:rPr>
              <w:t>Dimensione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6"/>
              </w:rPr>
            </w:r>
            <w:r>
              <w:rPr>
                <w:rFonts w:ascii="Calibri" w:hAnsi="Calibri"/>
                <w:b/>
                <w:color w:val="17365D"/>
                <w:sz w:val="16"/>
              </w:rPr>
              <w:t>BridgeLab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6"/>
              </w:rPr>
            </w:r>
            <w:r>
              <w:rPr>
                <w:rFonts w:ascii="Calibri" w:hAnsi="Calibri"/>
                <w:b/>
                <w:color w:val="17365D"/>
                <w:sz w:val="16"/>
              </w:rPr>
              <w:t>Funbridge / BBO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6"/>
              </w:rPr>
            </w:r>
            <w:r>
              <w:rPr>
                <w:rFonts w:ascii="Calibri" w:hAnsi="Calibri"/>
                <w:b/>
                <w:color w:val="17365D"/>
                <w:sz w:val="16"/>
              </w:rPr>
              <w:t>LMS generico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6"/>
              </w:rPr>
            </w:r>
            <w:r>
              <w:rPr>
                <w:rFonts w:ascii="Calibri" w:hAnsi="Calibri"/>
                <w:b w:val="0"/>
                <w:color w:val="1F2937"/>
                <w:sz w:val="16"/>
              </w:rPr>
              <w:t>Curriculum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6"/>
              </w:rPr>
            </w:r>
            <w:r>
              <w:rPr>
                <w:rFonts w:ascii="Calibri" w:hAnsi="Calibri"/>
                <w:b w:val="0"/>
                <w:color w:val="1F2937"/>
                <w:sz w:val="16"/>
              </w:rPr>
              <w:t>Percorsi FIGB, lezioni, quiz, mani e progressione nello stesso ambiente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6"/>
              </w:rPr>
            </w:r>
            <w:r>
              <w:rPr>
                <w:rFonts w:ascii="Calibri" w:hAnsi="Calibri"/>
                <w:b w:val="0"/>
                <w:color w:val="1F2937"/>
                <w:sz w:val="16"/>
              </w:rPr>
              <w:t>Didattica e pratica internazionale; non costruite sul processo FIGB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6"/>
              </w:rPr>
            </w:r>
            <w:r>
              <w:rPr>
                <w:rFonts w:ascii="Calibri" w:hAnsi="Calibri"/>
                <w:b w:val="0"/>
                <w:color w:val="1F2937"/>
                <w:sz w:val="16"/>
              </w:rPr>
              <w:t>Forte gestione corsi, senza logica bridge nativa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6"/>
              </w:rPr>
            </w:r>
            <w:r>
              <w:rPr>
                <w:rFonts w:ascii="Calibri" w:hAnsi="Calibri"/>
                <w:b w:val="0"/>
                <w:color w:val="1F2937"/>
                <w:sz w:val="16"/>
              </w:rPr>
              <w:t>Gioco e analisi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6"/>
              </w:rPr>
            </w:r>
            <w:r>
              <w:rPr>
                <w:rFonts w:ascii="Calibri" w:hAnsi="Calibri"/>
                <w:b w:val="0"/>
                <w:color w:val="1F2937"/>
                <w:sz w:val="16"/>
              </w:rPr>
              <w:t>Motore completo, DDS/BEN, replay, valore atteso e campo condiviso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6"/>
              </w:rPr>
            </w:r>
            <w:r>
              <w:rPr>
                <w:rFonts w:ascii="Calibri" w:hAnsi="Calibri"/>
                <w:b w:val="0"/>
                <w:color w:val="1F2937"/>
                <w:sz w:val="16"/>
              </w:rPr>
              <w:t>Robot, tornei, analisi e grandi campi competitivi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6"/>
              </w:rPr>
            </w:r>
            <w:r>
              <w:rPr>
                <w:rFonts w:ascii="Calibri" w:hAnsi="Calibri"/>
                <w:b w:val="0"/>
                <w:color w:val="1F2937"/>
                <w:sz w:val="16"/>
              </w:rPr>
              <w:t>Assente senza sviluppo specialistico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6"/>
              </w:rPr>
            </w:r>
            <w:r>
              <w:rPr>
                <w:rFonts w:ascii="Calibri" w:hAnsi="Calibri"/>
                <w:b w:val="0"/>
                <w:color w:val="1F2937"/>
                <w:sz w:val="16"/>
              </w:rPr>
              <w:t>Istruttori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6"/>
              </w:rPr>
            </w:r>
            <w:r>
              <w:rPr>
                <w:rFonts w:ascii="Calibri" w:hAnsi="Calibri"/>
                <w:b w:val="0"/>
                <w:color w:val="1F2937"/>
                <w:sz w:val="16"/>
              </w:rPr>
              <w:t>Classi, compiti, chat, lavagna, studio, generazione mani e tavolo live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6"/>
              </w:rPr>
            </w:r>
            <w:r>
              <w:rPr>
                <w:rFonts w:ascii="Calibri" w:hAnsi="Calibri"/>
                <w:b w:val="0"/>
                <w:color w:val="1F2937"/>
                <w:sz w:val="16"/>
              </w:rPr>
              <w:t>BBO offre tavoli didattici e stanze di pratica; Funbridge tornei/community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6"/>
              </w:rPr>
            </w:r>
            <w:r>
              <w:rPr>
                <w:rFonts w:ascii="Calibri" w:hAnsi="Calibri"/>
                <w:b w:val="0"/>
                <w:color w:val="1F2937"/>
                <w:sz w:val="16"/>
              </w:rPr>
              <w:t>Classi e contenuti sì; tavolo bridge no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6"/>
              </w:rPr>
            </w:r>
            <w:r>
              <w:rPr>
                <w:rFonts w:ascii="Calibri" w:hAnsi="Calibri"/>
                <w:b w:val="0"/>
                <w:color w:val="1F2937"/>
                <w:sz w:val="16"/>
              </w:rPr>
              <w:t>Dati e controllo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6"/>
              </w:rPr>
            </w:r>
            <w:r>
              <w:rPr>
                <w:rFonts w:ascii="Calibri" w:hAnsi="Calibri"/>
                <w:b w:val="0"/>
                <w:color w:val="1F2937"/>
                <w:sz w:val="16"/>
              </w:rPr>
              <w:t>Contenuti FIGB, export e replica del sorgente previsti dal contratto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6"/>
              </w:rPr>
            </w:r>
            <w:r>
              <w:rPr>
                <w:rFonts w:ascii="Calibri" w:hAnsi="Calibri"/>
                <w:b w:val="0"/>
                <w:color w:val="1F2937"/>
                <w:sz w:val="16"/>
              </w:rPr>
              <w:t>Servizio controllato dal fornitore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6"/>
              </w:rPr>
            </w:r>
            <w:r>
              <w:rPr>
                <w:rFonts w:ascii="Calibri" w:hAnsi="Calibri"/>
                <w:b w:val="0"/>
                <w:color w:val="1F2937"/>
                <w:sz w:val="16"/>
              </w:rPr>
              <w:t>Configurabilità dipendente dal piano e dal fornitore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6"/>
              </w:rPr>
            </w:r>
            <w:r>
              <w:rPr>
                <w:rFonts w:ascii="Calibri" w:hAnsi="Calibri"/>
                <w:b w:val="0"/>
                <w:color w:val="1F2937"/>
                <w:sz w:val="16"/>
              </w:rPr>
              <w:t>Personalizzazione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6"/>
              </w:rPr>
            </w:r>
            <w:r>
              <w:rPr>
                <w:rFonts w:ascii="Calibri" w:hAnsi="Calibri"/>
                <w:b w:val="0"/>
                <w:color w:val="1F2937"/>
                <w:sz w:val="16"/>
              </w:rPr>
              <w:t>Regole, flussi e contenuti adattabili alla Federazione italiana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6"/>
              </w:rPr>
            </w:r>
            <w:r>
              <w:rPr>
                <w:rFonts w:ascii="Calibri" w:hAnsi="Calibri"/>
                <w:b w:val="0"/>
                <w:color w:val="1F2937"/>
                <w:sz w:val="16"/>
              </w:rPr>
              <w:t>Prodotto standard globale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6"/>
              </w:rPr>
            </w:r>
            <w:r>
              <w:rPr>
                <w:rFonts w:ascii="Calibri" w:hAnsi="Calibri"/>
                <w:b w:val="0"/>
                <w:color w:val="1F2937"/>
                <w:sz w:val="16"/>
              </w:rPr>
              <w:t>Ampia sul corso, limitata sul motore di gioco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6"/>
              </w:rPr>
            </w:r>
            <w:r>
              <w:rPr>
                <w:rFonts w:ascii="Calibri" w:hAnsi="Calibri"/>
                <w:b w:val="0"/>
                <w:color w:val="1F2937"/>
                <w:sz w:val="16"/>
              </w:rPr>
              <w:t>Costo contrattuale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6"/>
              </w:rPr>
            </w:r>
            <w:r>
              <w:rPr>
                <w:rFonts w:ascii="Calibri" w:hAnsi="Calibri"/>
                <w:b w:val="0"/>
                <w:color w:val="1F2937"/>
                <w:sz w:val="16"/>
              </w:rPr>
              <w:t>Licenza e servizi gratuiti fino al 2029; licenza senza scadenza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6"/>
              </w:rPr>
            </w:r>
            <w:r>
              <w:rPr>
                <w:rFonts w:ascii="Calibri" w:hAnsi="Calibri"/>
                <w:b w:val="0"/>
                <w:color w:val="1F2937"/>
                <w:sz w:val="16"/>
              </w:rPr>
              <w:t>Freemium/abbonamenti e servizi del fornitore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6"/>
              </w:rPr>
            </w:r>
            <w:r>
              <w:rPr>
                <w:rFonts w:ascii="Calibri" w:hAnsi="Calibri"/>
                <w:b w:val="0"/>
                <w:color w:val="1F2937"/>
                <w:sz w:val="16"/>
              </w:rPr>
              <w:t>Canone di piattaforma più sviluppo bridge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6"/>
              </w:rPr>
            </w:r>
            <w:r>
              <w:rPr>
                <w:rFonts w:ascii="Calibri" w:hAnsi="Calibri"/>
                <w:b w:val="0"/>
                <w:color w:val="1F2937"/>
                <w:sz w:val="16"/>
              </w:rPr>
              <w:t>Scala comunitaria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6"/>
              </w:rPr>
            </w:r>
            <w:r>
              <w:rPr>
                <w:rFonts w:ascii="Calibri" w:hAnsi="Calibri"/>
                <w:b w:val="0"/>
                <w:color w:val="1F2937"/>
                <w:sz w:val="16"/>
              </w:rPr>
              <w:t>1.095 utenti registrati nella rilevazione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6"/>
              </w:rPr>
            </w:r>
            <w:r>
              <w:rPr>
                <w:rFonts w:ascii="Calibri" w:hAnsi="Calibri"/>
                <w:b w:val="0"/>
                <w:color w:val="1F2937"/>
                <w:sz w:val="16"/>
              </w:rPr>
              <w:t>BBO dichiara oltre 1 milione di visitatori mensili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6"/>
              </w:rPr>
            </w:r>
            <w:r>
              <w:rPr>
                <w:rFonts w:ascii="Calibri" w:hAnsi="Calibri"/>
                <w:b w:val="0"/>
                <w:color w:val="1F2937"/>
                <w:sz w:val="16"/>
              </w:rPr>
              <w:t>Dipende dalla comunità del cliente</w:t>
            </w:r>
          </w:p>
        </w:tc>
      </w:tr>
    </w:tbl>
    <w:p>
      <w:pPr>
        <w:spacing w:after="20"/>
      </w:pPr>
    </w:p>
    <w:p>
      <w:pPr>
        <w:spacing w:before="80" w:after="120"/>
      </w:pPr>
      <w:r>
        <w:rPr>
          <w:rFonts w:ascii="Calibri" w:hAnsi="Calibri"/>
          <w:i/>
          <w:color w:val="667085"/>
          <w:sz w:val="17"/>
        </w:rPr>
        <w:t>Fonti competitor: pagine ufficiali Funbridge e Bridge Base Online consultate il 15 agosto 2026; collegamenti in appendice.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4.1 Vantaggi specifici per la Federazione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Coerenza istituzionale: corsi, linguaggio, circoli, scuole e istruttori possono seguire un unico modello nazionale.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Continuità del percorso: l'utente passa dalla teoria alla mano giocata, riceve un risultato, accumula progressione e può tornare sull'errore.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Capacità di intervento: una funzione richiesta dalla Federazione può diventare parte del prodotto, anziché dipendere dalla roadmap di un SaaS globale.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Controllo dei contenuti e dei dati: il contratto assegna a FIGB i propri materiali e ne garantisce l'esportazione; prevede inoltre una replica del codice.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Costo di accesso: il pacchetto è gratuito nella fase di adozione e la licenza non ha una scadenza prefissata.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FDECEC"/>
            <w:tcBorders>
              <w:left w:val="single" w:sz="18" w:color="9B1C1C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before="20" w:after="40" w:line="259" w:lineRule="auto"/>
            </w:pPr>
            <w:r/>
            <w:r>
              <w:rPr>
                <w:rFonts w:ascii="Calibri" w:hAnsi="Calibri"/>
                <w:b/>
                <w:color w:val="9B1C1C"/>
                <w:sz w:val="21"/>
              </w:rPr>
              <w:t xml:space="preserve">DOVE I CONCORRENTI RESTANO PIÙ FORTI  </w:t>
            </w:r>
            <w:r>
              <w:rPr>
                <w:rFonts w:ascii="Calibri" w:hAnsi="Calibri"/>
                <w:color w:val="1F2937"/>
                <w:sz w:val="21"/>
              </w:rPr>
              <w:t>BBO e Funbridge hanno scala internazionale, rete di giocatori, multilingua, presenza Android e sistemi robot consolidati. BridgeLab deve puntare sulla specializzazione federale, non imitare la loro scala generalista.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5. Maturità dell'infrastruttura — spiegata senza tecnicismi</w:t>
      </w:r>
    </w:p>
    <w:p>
      <w:pPr>
        <w:keepNext w:val="0"/>
        <w:keepLines w:val="0"/>
        <w:spacing w:before="0" w:after="120" w:line="264" w:lineRule="auto"/>
      </w:pPr>
      <w:r>
        <w:rPr>
          <w:rFonts w:ascii="Calibri" w:hAnsi="Calibri"/>
          <w:i w:val="0"/>
          <w:color w:val="1F2937"/>
          <w:sz w:val="22"/>
        </w:rPr>
        <w:t>L'infrastruttura è l'insieme dei meccanismi che consentono alla piattaforma di funzionare, proteggere i dati, distribuire aggiornamenti e recuperare da un guasto. BridgeLab presenta una base produttiva credibile: non è un insieme di pagine isolate, ma un sistema a strati con controlli automatici e regole di accesso ai dati.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3816"/>
        <w:gridCol w:w="3600"/>
      </w:tblGrid>
      <w:tr>
        <w:trPr>
          <w:tblHeader w:val="true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Strato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Che cosa fa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Maturità osservata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Esperienza utente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Web app installabile, navigazione, gioco, lezioni e portali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81 pagine; PWA; build di produzione riuscita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Logica BridgeLab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Regole di gioco, progressione, quiz, sfide e strumenti scuola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Moduli separati e testati; dipendenze DDS/BEN controllate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Identità e dati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Login, profili, corsi, risultati, classi e consensi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47 tabelle; protezione per riga su 47/47; 91 policy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Servizi specialistici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Motore BEN, double-dummy, email e monitoraggio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Timeout, guardie e fallback; dipendenza da servizi esterni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Controllo qualità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Verifica che gli aggiornamenti non rompano il prodotto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990 test superati; 35 E2E definiti; 2 workflow CI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Continuità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Ricostruzione, passaggio a terzi e disponibilità del codice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Baseline schema allineata; replica del sorgente prevista dal contratto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5.1 Valutazione sintetica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72"/>
        <w:gridCol w:w="1512"/>
        <w:gridCol w:w="4176"/>
      </w:tblGrid>
      <w:tr>
        <w:trPr>
          <w:tblHeader w:val="true"/>
          <w:cantSplit w:val="true"/>
        </w:trPr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7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Area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color w:val="17365D"/>
                <w:sz w:val="17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Punteggio / 5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7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Lettura</w:t>
            </w:r>
          </w:p>
        </w:tc>
      </w:tr>
      <w:tr>
        <w:trPr>
          <w:cantSplit w:val="true"/>
        </w:trPr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Separazione delle responsabilità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Buona modularità; alcune pagine restano molto lunghe</w:t>
            </w:r>
          </w:p>
        </w:tc>
      </w:tr>
      <w:tr>
        <w:trPr>
          <w:cantSplit w:val="true"/>
        </w:trPr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Modello dati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Integrità e protezione diffuse</w:t>
            </w:r>
          </w:p>
        </w:tc>
      </w:tr>
      <w:tr>
        <w:trPr>
          <w:cantSplit w:val="true"/>
        </w:trPr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Autenticazione e autorizzazione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Controlli lato server e RLS</w:t>
            </w:r>
          </w:p>
        </w:tc>
      </w:tr>
      <w:tr>
        <w:trPr>
          <w:cantSplit w:val="true"/>
        </w:trPr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Sicurezza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Impianto solido; segnalazioni automatiche da revisionare</w:t>
            </w:r>
          </w:p>
        </w:tc>
      </w:tr>
      <w:tr>
        <w:trPr>
          <w:cantSplit w:val="true"/>
        </w:trPr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Gestione degli errori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Monitoraggio, timeout e fallback</w:t>
            </w:r>
          </w:p>
        </w:tc>
      </w:tr>
      <w:tr>
        <w:trPr>
          <w:cantSplit w:val="true"/>
        </w:trPr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Prestazioni e caching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Buone tecniche; carico massimo non misurato</w:t>
            </w:r>
          </w:p>
        </w:tc>
      </w:tr>
      <w:tr>
        <w:trPr>
          <w:cantSplit w:val="true"/>
        </w:trPr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Accessibilità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Controlli e test dedicati</w:t>
            </w:r>
          </w:p>
        </w:tc>
      </w:tr>
      <w:tr>
        <w:trPr>
          <w:cantSplit w:val="true"/>
        </w:trPr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Internazionalizzazione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Prodotto sostanzialmente solo italiano</w:t>
            </w:r>
          </w:p>
        </w:tc>
      </w:tr>
      <w:tr>
        <w:trPr>
          <w:cantSplit w:val="true"/>
        </w:trPr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Test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Suite ampia; coverage percentuale non determinabile</w:t>
            </w:r>
          </w:p>
        </w:tc>
      </w:tr>
      <w:tr>
        <w:trPr>
          <w:cantSplit w:val="true"/>
        </w:trPr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CI/CD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Controlli principali e verifiche notturne</w:t>
            </w:r>
          </w:p>
        </w:tc>
      </w:tr>
      <w:tr>
        <w:trPr>
          <w:cantSplit w:val="true"/>
        </w:trPr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Documentazione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Presente ma alcuni numeri sono disallineati</w:t>
            </w:r>
          </w:p>
        </w:tc>
      </w:tr>
      <w:tr>
        <w:trPr>
          <w:cantSplit w:val="true"/>
        </w:trPr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Passaggio a un team terzo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Possibile, con rischio da conoscenza concentrata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E8F5EE"/>
            <w:tcBorders>
              <w:left w:val="single" w:sz="18" w:color="276749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before="20" w:after="40" w:line="259" w:lineRule="auto"/>
            </w:pPr>
            <w:r/>
            <w:r>
              <w:rPr>
                <w:rFonts w:ascii="Calibri" w:hAnsi="Calibri"/>
                <w:b/>
                <w:color w:val="276749"/>
                <w:sz w:val="21"/>
              </w:rPr>
              <w:t xml:space="preserve">GIUDIZIO  </w:t>
            </w:r>
            <w:r>
              <w:rPr>
                <w:rFonts w:ascii="Calibri" w:hAnsi="Calibri"/>
                <w:color w:val="1F2937"/>
                <w:sz w:val="21"/>
              </w:rPr>
              <w:t>Media 3,42/5: infrastruttura adeguata a un servizio federale operativo e in crescita, ma non ancora dimostrata come infrastruttura critica con SLA, disaster recovery e carichi elevati certificati.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5.2 Rischi e priorità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Concentrazione della conoscenza: 328 commit su 329 provengono dallo sviluppatore principale. La replica del codice riduce il rischio materiale, ma non trasferisce automaticamente il know-how.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Capacità sotto carico: non è stato eseguito un load test; il massimo numero di utenti simultanei sostenibile è non determinabile.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Continuità operativa: SLA, tempi di ripristino e prova di disaster recovery sono non determinabili e vanno formalizzati.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Database: gli advisor segnalano ottimizzazioni su indici, policy e funzioni privilegiate. Sono rilievi tecnici da gestire, non vulnerabilità automaticamente dimostrate.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Collaudo separato: alcuni test notturni puntano alla produzione; è preferibile un ambiente di staging dedicato.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  <w:sz w:val="22"/>
        </w:rPr>
        <w:t>Canali: Android registra zero utenti nella dashboard; l'internazionalizzazione è assente.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6. Valore della licenza gratuita</w:t>
      </w:r>
    </w:p>
    <w:p>
      <w:pPr>
        <w:keepNext w:val="0"/>
        <w:keepLines w:val="0"/>
        <w:spacing w:before="0" w:after="120" w:line="264" w:lineRule="auto"/>
      </w:pPr>
      <w:r>
        <w:rPr>
          <w:rFonts w:ascii="Calibri" w:hAnsi="Calibri"/>
          <w:i w:val="0"/>
          <w:color w:val="1F2937"/>
          <w:sz w:val="22"/>
        </w:rPr>
        <w:t>La bozza contrattuale non trasferisce la proprietà intellettuale del nucleo BridgeLab. Concede però a FIGB un'esclusiva italiana per le finalità istituzionali e didattiche, senza scadenza prefissata e senza recesso unilaterale del licenziante salvo grave inadempimento. Hosting e manutenzione sono gratuiti fino al 31 dicembre 2029; il contratto disciplina inoltre contenuti FIGB, esportazione dei dati, replica del codice e diritti di continuità in eventi specifici.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EAF2F8"/>
            <w:tcBorders>
              <w:left w:val="single" w:sz="18" w:color="2E74B5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before="20" w:after="40" w:line="259" w:lineRule="auto"/>
            </w:pPr>
            <w:r/>
            <w:r>
              <w:rPr>
                <w:rFonts w:ascii="Calibri" w:hAnsi="Calibri"/>
                <w:b/>
                <w:color w:val="2E74B5"/>
                <w:sz w:val="21"/>
              </w:rPr>
              <w:t xml:space="preserve">DISTINZIONE  </w:t>
            </w:r>
            <w:r>
              <w:rPr>
                <w:rFonts w:ascii="Calibri" w:hAnsi="Calibri"/>
                <w:color w:val="1F2937"/>
                <w:sz w:val="21"/>
              </w:rPr>
              <w:t>Il prezzo contrattuale è €0. Il valore economico è invece il beneficio che FIGB riceve senza pagarlo. Non coincide né con il costo storico di sviluppo né con il costo massimo di sostituzione.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6.1 Metodo di valutazione</w:t>
      </w:r>
    </w:p>
    <w:p>
      <w:pPr>
        <w:keepNext w:val="0"/>
        <w:keepLines w:val="0"/>
        <w:spacing w:before="0" w:after="120" w:line="264" w:lineRule="auto"/>
      </w:pPr>
      <w:r>
        <w:rPr>
          <w:rFonts w:ascii="Calibri" w:hAnsi="Calibri"/>
          <w:i w:val="0"/>
          <w:color w:val="1F2937"/>
          <w:sz w:val="22"/>
        </w:rPr>
        <w:t>Il metodo principale usa il costo evitato di una piattaforma comparabile per l'apprendimento del bridge. Per i primi tre anni FIGB non sostiene né canone né costi di hosting/manutenzione. Dopo il periodo gratuito si sottrae l'onere operativo necessario a mantenere una soluzione propria. Poiché il diritto è giuridicamente senza termine ma il software può diventare obsoleto, la stima centrale usa una vita economica di 10 anni, non una rendita infinita.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104"/>
        <w:gridCol w:w="1656"/>
        <w:gridCol w:w="1728"/>
        <w:gridCol w:w="1872"/>
      </w:tblGrid>
      <w:tr>
        <w:trPr>
          <w:tblHeader w:val="true"/>
          <w:cantSplit w:val="true"/>
        </w:trPr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Assunzione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color w:val="17365D"/>
                <w:sz w:val="18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−30%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color w:val="17365D"/>
                <w:sz w:val="18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Base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color w:val="17365D"/>
                <w:sz w:val="18"/>
              </w:rPr>
            </w:r>
            <w:r>
              <w:rPr>
                <w:rFonts w:ascii="Calibri" w:hAnsi="Calibri"/>
                <w:b/>
                <w:color w:val="17365D"/>
                <w:sz w:val="18"/>
              </w:rPr>
              <w:t>+30%</w:t>
            </w:r>
          </w:p>
        </w:tc>
      </w:tr>
      <w:tr>
        <w:trPr>
          <w:cantSplit w:val="true"/>
        </w:trPr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Utenti attivi mensili sostenibili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197,4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282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366,6</w:t>
            </w:r>
          </w:p>
        </w:tc>
      </w:tr>
      <w:tr>
        <w:trPr>
          <w:cantSplit w:val="true"/>
        </w:trPr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Costo operativo annuo dopo il periodo gratuito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€15.452,16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€22.074,52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€28.696,87</w:t>
            </w:r>
          </w:p>
        </w:tc>
      </w:tr>
      <w:tr>
        <w:trPr>
          <w:cantSplit w:val="true"/>
        </w:trPr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Vita economica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7 anni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10 anni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13 anni</w:t>
            </w:r>
          </w:p>
        </w:tc>
      </w:tr>
      <w:tr>
        <w:trPr>
          <w:cantSplit w:val="true"/>
        </w:trPr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Tasso di attualizzazione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3,5%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5,0%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8"/>
              </w:rPr>
            </w:r>
            <w:r>
              <w:rPr>
                <w:rFonts w:ascii="Calibri" w:hAnsi="Calibri"/>
                <w:b w:val="0"/>
                <w:color w:val="1F2937"/>
                <w:sz w:val="18"/>
              </w:rPr>
              <w:t>6,5%</w:t>
            </w:r>
          </w:p>
        </w:tc>
      </w:tr>
    </w:tbl>
    <w:p>
      <w:pPr>
        <w:spacing w:after="20"/>
      </w:pPr>
    </w:p>
    <w:p>
      <w:pPr>
        <w:spacing w:before="80" w:after="120"/>
      </w:pPr>
      <w:r>
        <w:rPr>
          <w:rFonts w:ascii="Calibri" w:hAnsi="Calibri"/>
          <w:i/>
          <w:color w:val="667085"/>
          <w:sz w:val="17"/>
        </w:rPr>
        <w:t>Prezzo osservato, non assunto: Funbridge Premium €149,99 per utente/anno. Orizzonte all-inclusive: 3 anni, coerente con la perizia e ricompreso nel termine contrattuale del 31 dicembre 2029.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6.2 Risultato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696"/>
        <w:gridCol w:w="2664"/>
      </w:tblGrid>
      <w:tr>
        <w:trPr>
          <w:tblHeader w:val="true"/>
          <w:cantSplit w:val="true"/>
        </w:trPr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</w:r>
            <w:r>
              <w:rPr>
                <w:rFonts w:ascii="Calibri" w:hAnsi="Calibri"/>
                <w:b/>
                <w:color w:val="17365D"/>
                <w:sz w:val="19"/>
              </w:rPr>
              <w:t>Componente, scenario centrale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color w:val="17365D"/>
                <w:sz w:val="19"/>
              </w:rPr>
            </w:r>
            <w:r>
              <w:rPr>
                <w:rFonts w:ascii="Calibri" w:hAnsi="Calibri"/>
                <w:b/>
                <w:color w:val="17365D"/>
                <w:sz w:val="19"/>
              </w:rPr>
              <w:t>Valore attuale</w:t>
            </w:r>
          </w:p>
        </w:tc>
      </w:tr>
      <w:tr>
        <w:trPr>
          <w:cantSplit w:val="true"/>
        </w:trPr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Primi tre anni: licenza + hosting + manutenzione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€115.185,71</w:t>
            </w:r>
          </w:p>
        </w:tc>
      </w:tr>
      <w:tr>
        <w:trPr>
          <w:cantSplit w:val="true"/>
        </w:trPr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Licenza residua dal 4º al 10º anno, al netto dei costi operativi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€101.082,72</w:t>
            </w:r>
          </w:p>
        </w:tc>
      </w:tr>
      <w:tr>
        <w:trPr>
          <w:cantSplit w:val="true"/>
        </w:trPr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Valore complessivo centrale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b w:val="0"/>
                <w:color w:val="1F2937"/>
                <w:sz w:val="19"/>
              </w:rPr>
              <w:t>€216.268,43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5715000" cy="2802194"/>
            <wp:docPr id="3" name="Picture 3" title="Grafico a colonne del valore attuale del contratto negli scenari basso, centrale e alto, distinto tra primi tre anni all-inclusive e licenza residua." descr="Grafico a colonne del valore attuale del contratto negli scenari basso, centrale e alto, distinto tra primi tre anni all-inclusive e licenza residu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cence_val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02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67085"/>
          <w:sz w:val="17"/>
        </w:rPr>
        <w:t>Figura 3 — Valore attuale: scenario basso €81.000, centrale €216.268, alto €450.602.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96"/>
        <w:gridCol w:w="3168"/>
        <w:gridCol w:w="3096"/>
      </w:tblGrid>
      <w:tr>
        <w:trPr>
          <w:tblHeader w:val="true"/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7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Misura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7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Valore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65D"/>
                <w:sz w:val="17"/>
              </w:rPr>
            </w:r>
            <w:r>
              <w:rPr>
                <w:rFonts w:ascii="Calibri" w:hAnsi="Calibri"/>
                <w:b/>
                <w:color w:val="17365D"/>
                <w:sz w:val="17"/>
              </w:rPr>
              <w:t>Uso corretto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Beneficio 3 anni non attualizzato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€88.824–€164.959; base €126.891,54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Valore iniziale all-inclusive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Valore totale prudenziale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€81.000–€450.602; base €216.268,43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Range consigliato per il Consiglio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Perpetuità teorica centrale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€464.567,65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Solo controllo; non raccomandata come cifra ufficiale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Costo di riproduzione a effort base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€568.400–€893.200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Tetto tecnico, non valore d'uso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Costo fornitore a perimetro base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€974.400–€1.827.000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 w:val="0"/>
                <w:color w:val="1F2937"/>
                <w:sz w:val="17"/>
              </w:rPr>
              <w:t>Controfattuale di gara, non valore conferito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E8F5EE"/>
            <w:tcBorders>
              <w:left w:val="single" w:sz="18" w:color="276749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before="20" w:after="40" w:line="259" w:lineRule="auto"/>
            </w:pPr>
            <w:r/>
            <w:r>
              <w:rPr>
                <w:rFonts w:ascii="Calibri" w:hAnsi="Calibri"/>
                <w:b/>
                <w:color w:val="276749"/>
                <w:sz w:val="21"/>
              </w:rPr>
              <w:t xml:space="preserve">VALORE DA COMUNICARE  </w:t>
            </w:r>
            <w:r>
              <w:rPr>
                <w:rFonts w:ascii="Calibri" w:hAnsi="Calibri"/>
                <w:color w:val="1F2937"/>
                <w:sz w:val="21"/>
              </w:rPr>
              <w:t>Il contratto attribuisce gratuitamente a FIGB un beneficio economico stimato in circa €216.000, con un intervallo prudenziale di €81.000–€451.000. Il valore comprende i primi tre anni all-inclusive e il valore residuo della licenza italiana a tempo indeterminato.</w:t>
            </w:r>
          </w:p>
        </w:tc>
      </w:tr>
    </w:tbl>
    <w:p>
      <w:pPr>
        <w:spacing w:after="40"/>
      </w:pPr>
    </w:p>
    <w:p>
      <w:pPr>
        <w:keepNext w:val="0"/>
        <w:keepLines w:val="0"/>
        <w:spacing w:before="0" w:after="120" w:line="264" w:lineRule="auto"/>
      </w:pPr>
      <w:r>
        <w:rPr>
          <w:rFonts w:ascii="Calibri" w:hAnsi="Calibri"/>
          <w:i w:val="0"/>
          <w:color w:val="1F2937"/>
          <w:sz w:val="22"/>
        </w:rPr>
        <w:t>La perpetuità giuridica non equivale a vita economica infinita. Inoltre l'esclusiva è limitata alle finalità istituzionali e didattiche e FIGB non può commercializzarla o sublicenziarla liberamente. In caso di recesso volontario di FIGB è previsto un periodo transitorio; i diritti perpetui sul codice si attivano pienamente negli eventi descritti dall'articolo 5. Questi limiti sono già riflessi nell'approccio prudente.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7. Conclusioni per il Consiglio</w:t>
      </w:r>
    </w:p>
    <w:p>
      <w:pPr>
        <w:keepNext w:val="0"/>
        <w:keepLines w:val="0"/>
        <w:spacing w:before="0" w:after="120" w:line="264" w:lineRule="auto"/>
      </w:pPr>
      <w:r>
        <w:rPr>
          <w:rFonts w:ascii="Calibri" w:hAnsi="Calibri"/>
          <w:i w:val="0"/>
          <w:color w:val="1F2937"/>
          <w:sz w:val="22"/>
        </w:rPr>
        <w:t>BridgeLab combina tre asset difficili da separare: piattaforma tecnica, patrimonio didattico e processo federale. La sua utilità è dimostrata da 1.095 utenti, oltre 8.221 ore di utilizzo e 60.773 partite; la sua profondità è dimostrata da un catalogo articolato e da strumenti che coprono allievo, istruttore, classe, gioco e amministrazione.</w:t>
      </w:r>
    </w:p>
    <w:p>
      <w:pPr>
        <w:keepNext w:val="0"/>
        <w:keepLines w:val="0"/>
        <w:spacing w:before="0" w:after="120" w:line="264" w:lineRule="auto"/>
      </w:pPr>
      <w:r>
        <w:rPr>
          <w:rFonts w:ascii="Calibri" w:hAnsi="Calibri"/>
          <w:i w:val="0"/>
          <w:color w:val="1F2937"/>
          <w:sz w:val="22"/>
        </w:rPr>
        <w:t>L'infrastruttura è matura per l'operatività attuale, con protezione dei dati, test, build e automazioni. Per trasformarla in un servizio istituzionale pienamente presidiato occorre però ridurre la dipendenza da una sola persona, formalizzare continuità e livelli di servizio, introdurre staging e load test e mantenere allineata la documentazione.</w:t>
      </w:r>
    </w:p>
    <w:p>
      <w:pPr>
        <w:keepNext w:val="0"/>
        <w:keepLines w:val="0"/>
        <w:spacing w:before="0" w:after="120" w:line="264" w:lineRule="auto"/>
      </w:pPr>
      <w:r>
        <w:rPr>
          <w:rFonts w:ascii="Calibri" w:hAnsi="Calibri"/>
          <w:i w:val="0"/>
          <w:color w:val="1F2937"/>
          <w:sz w:val="22"/>
        </w:rPr>
        <w:t>Il valore economico più difendibile del contratto non è il milione potenzialmente necessario per ricommissionare tutto a un fornitore. È il beneficio d'uso della licenza e dei servizi, attualizzato e corretto per i costi futuri: €216.268 nello scenario centrale, con range prudenziale €81.000–€450.602.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Appendice A — Metodo e fonti</w:t>
      </w:r>
    </w:p>
    <w:p>
      <w:pPr>
        <w:keepNext w:val="0"/>
        <w:keepLines w:val="0"/>
        <w:spacing w:before="0" w:after="120" w:line="264" w:lineRule="auto"/>
      </w:pPr>
      <w:r>
        <w:rPr>
          <w:rFonts w:ascii="Calibri" w:hAnsi="Calibri"/>
          <w:i w:val="0"/>
          <w:color w:val="1F2937"/>
          <w:sz w:val="22"/>
        </w:rPr>
        <w:t>Ogni dato numerico della relazione deriva dai comandi o dai file indicati di seguito. Le statistiche di utilizzo sono riportate esclusivamente in forma aggregata.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A.1 Repository ed effort</w:t>
      </w:r>
    </w:p>
    <w:p>
      <w:pPr>
        <w:keepNext/>
        <w:keepLines/>
        <w:spacing w:before="0" w:after="120" w:line="264" w:lineRule="auto"/>
      </w:pPr>
      <w:r>
        <w:rPr>
          <w:rFonts w:ascii="Calibri" w:hAnsi="Calibri"/>
          <w:b/>
          <w:color w:val="1F2937"/>
          <w:sz w:val="22"/>
        </w:rPr>
        <w:t>Comando eseguito:</w:t>
      </w:r>
      <w:r>
        <w:rPr>
          <w:rFonts w:ascii="Calibri" w:hAnsi="Calibri"/>
          <w:i w:val="0"/>
          <w:color w:val="1F2937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F2F4F7"/>
            <w:tcBorders>
              <w:left w:val="single" w:sz="18" w:color="667085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before="20" w:after="40" w:line="259" w:lineRule="auto"/>
            </w:pPr>
            <w:r/>
            <w:r>
              <w:rPr>
                <w:rFonts w:ascii="Calibri" w:hAnsi="Calibri"/>
                <w:b/>
                <w:color w:val="667085"/>
                <w:sz w:val="21"/>
              </w:rPr>
              <w:t xml:space="preserve">COMANDO  </w:t>
            </w:r>
            <w:r>
              <w:rPr>
                <w:rFonts w:ascii="Calibri" w:hAnsi="Calibri"/>
                <w:color w:val="1F2937"/>
                <w:sz w:val="21"/>
              </w:rPr>
              <w:t>node audit-bridgelab/collect-git-metrics.mjs</w:t>
            </w:r>
          </w:p>
        </w:tc>
      </w:tr>
    </w:tbl>
    <w:p>
      <w:pPr>
        <w:spacing w:after="40"/>
      </w:pPr>
    </w:p>
    <w:p>
      <w:pPr>
        <w:keepNext w:val="0"/>
        <w:keepLines w:val="0"/>
        <w:spacing w:before="0" w:after="120" w:line="264" w:lineRule="auto"/>
      </w:pPr>
      <w:r>
        <w:rPr>
          <w:rFonts w:ascii="Calibri" w:hAnsi="Calibri"/>
          <w:i w:val="0"/>
          <w:color w:val="1F2937"/>
          <w:sz w:val="22"/>
        </w:rPr>
        <w:t>Output utilizzato: 329 commit; autore principale 328; 57 giorni attivi; 102 sessioni; 127,84 ore; fasce 00–05: 58, 06–11: 66, 12–17: 102, 18–23: 103; giorni lun–dom: 32, 57, 60, 56, 38, 36, 50; weekend 86; fuori finestra 09–18: 224.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A.2 Inventario di prodotto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F2F4F7"/>
            <w:tcBorders>
              <w:left w:val="single" w:sz="18" w:color="667085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before="20" w:after="40" w:line="259" w:lineRule="auto"/>
            </w:pPr>
            <w:r/>
            <w:r>
              <w:rPr>
                <w:rFonts w:ascii="Calibri" w:hAnsi="Calibri"/>
                <w:b/>
                <w:color w:val="667085"/>
                <w:sz w:val="21"/>
              </w:rPr>
              <w:t xml:space="preserve">COMANDO  </w:t>
            </w:r>
            <w:r>
              <w:rPr>
                <w:rFonts w:ascii="Calibri" w:hAnsi="Calibri"/>
                <w:color w:val="1F2937"/>
                <w:sz w:val="21"/>
              </w:rPr>
              <w:t>npx tsx audit-bridgelab/collect-static-product-metrics.ts</w:t>
            </w:r>
          </w:p>
        </w:tc>
      </w:tr>
    </w:tbl>
    <w:p>
      <w:pPr>
        <w:spacing w:after="40"/>
      </w:pPr>
    </w:p>
    <w:p>
      <w:pPr>
        <w:keepNext w:val="0"/>
        <w:keepLines w:val="0"/>
        <w:spacing w:before="0" w:after="120" w:line="264" w:lineRule="auto"/>
      </w:pPr>
      <w:r>
        <w:rPr>
          <w:rFonts w:ascii="Calibri" w:hAnsi="Calibri"/>
          <w:i w:val="0"/>
          <w:color w:val="1F2937"/>
          <w:sz w:val="22"/>
        </w:rPr>
        <w:t>Output utilizzato: 4 corsi, 49 lezioni, 168 moduli nel sorgente, 943 blocchi, 5 tipologie quiz, 111 domande di comprensione, 340 definizioni di mani, 13 badge, 10 obiettivi segreti, 36 livelli, 81 pagine, 102 componenti e 13 handler API. I valori vivi di 199 moduli e 1.504 mani generate derivano dalle query aggregate documentate nella perizia tecnica.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A.3 Dashboard di utilizzo</w:t>
      </w:r>
    </w:p>
    <w:p>
      <w:pPr>
        <w:keepNext w:val="0"/>
        <w:keepLines w:val="0"/>
        <w:spacing w:before="0" w:after="120" w:line="264" w:lineRule="auto"/>
      </w:pPr>
      <w:r>
        <w:rPr>
          <w:rFonts w:ascii="Calibri" w:hAnsi="Calibri"/>
          <w:i w:val="0"/>
          <w:color w:val="1F2937"/>
          <w:sz w:val="22"/>
        </w:rPr>
        <w:t>File letto: /Users/albertogiovannigerli/.codex/attachments/5288cdbf-60a7-4ba7-9dc2-9161305ac1b3/pasted-text.txt. Sono state usate soltanto le sezioni aggregate iniziali della dashboard; l'elenco individuale degli utenti non è stato riportato né elaborato nella relazione.</w:t>
      </w:r>
    </w:p>
    <w:p>
      <w:pPr>
        <w:keepNext w:val="0"/>
        <w:keepLines w:val="0"/>
        <w:spacing w:before="0" w:after="120" w:line="264" w:lineRule="auto"/>
      </w:pPr>
      <w:r>
        <w:rPr>
          <w:rFonts w:ascii="Calibri" w:hAnsi="Calibri"/>
          <w:i w:val="0"/>
          <w:color w:val="1F2937"/>
          <w:sz w:val="22"/>
        </w:rPr>
        <w:t>Output aggregato utilizzato: 1.095 utenti; 3 nuovi oggi, 12 in 7 giorni, 49 in 30 giorni; 79 attivi oggi, 133 in 7 giorni; 8.221 h 48 m complessive; 450 minuti medi; retention 7 giorni 11%; 60.773 partite; 665 giocatori; 16 istruttori; 16 classi; 52 allievi.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A.4 Valore contrattuale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F2F4F7"/>
            <w:tcBorders>
              <w:left w:val="single" w:sz="18" w:color="667085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before="20" w:after="40" w:line="259" w:lineRule="auto"/>
            </w:pPr>
            <w:r/>
            <w:r>
              <w:rPr>
                <w:rFonts w:ascii="Calibri" w:hAnsi="Calibri"/>
                <w:b/>
                <w:color w:val="667085"/>
                <w:sz w:val="21"/>
              </w:rPr>
              <w:t xml:space="preserve">COMANDO  </w:t>
            </w:r>
            <w:r>
              <w:rPr>
                <w:rFonts w:ascii="Calibri" w:hAnsi="Calibri"/>
                <w:color w:val="1F2937"/>
                <w:sz w:val="21"/>
              </w:rPr>
              <w:t>node audit-bridgelab/contract-value-calculations.mjs</w:t>
            </w:r>
          </w:p>
        </w:tc>
      </w:tr>
    </w:tbl>
    <w:p>
      <w:pPr>
        <w:spacing w:after="40"/>
      </w:pPr>
    </w:p>
    <w:p>
      <w:pPr>
        <w:keepNext w:val="0"/>
        <w:keepLines w:val="0"/>
        <w:spacing w:before="0" w:after="120" w:line="264" w:lineRule="auto"/>
      </w:pPr>
      <w:r>
        <w:rPr>
          <w:rFonts w:ascii="Calibri" w:hAnsi="Calibri"/>
          <w:i w:val="0"/>
          <w:color w:val="1F2937"/>
          <w:sz w:val="22"/>
        </w:rPr>
        <w:t>Output centrale: utenti attivi 282; costo operativo annuo €22.074,52; vita economica 10 anni; tasso 5%; primi tre anni €115.185,71; licenza residua €101.082,72; totale €216.268,43. Output di sensibilità: €81.000,21–€450.601,59. Perpetuità teorica centrale: €464.567,65.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A.5 Qualità e infrastruttura</w:t>
      </w:r>
    </w:p>
    <w:p>
      <w:pPr>
        <w:keepNext w:val="0"/>
        <w:keepLines w:val="0"/>
        <w:spacing w:before="0" w:after="120" w:line="264" w:lineRule="auto"/>
      </w:pPr>
      <w:r>
        <w:rPr>
          <w:rFonts w:ascii="Calibri" w:hAnsi="Calibri"/>
          <w:i w:val="0"/>
          <w:color w:val="1F2937"/>
          <w:sz w:val="22"/>
        </w:rPr>
        <w:t>Comandi eseguiti nella perizia tecnica: npm test; npx tsc --noEmit; npx eslint src --max-warnings 0; npm run build; npx playwright test --list; python3 deploy/ben-railway/test_guard.py; npm run schema:check. Risultati utilizzati: 990 test passati, 5 saltati; TypeScript e lint con esito positivo; 85 pagine generate in build; 35 E2E elencati; 11 controlli BEN passati; schema allineato su 4.514 righe.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A.6 Fonti pubbliche sui concorrenti</w:t>
      </w:r>
    </w:p>
    <w:p>
      <w:pPr>
        <w:spacing w:after="100"/>
      </w:pPr>
      <w:hyperlink r:id="rId14">
        <w:r>
          <w:rPr>
            <w:color w:val="2E74B5"/>
            <w:u w:val="single"/>
          </w:rPr>
          <w:t>Funbridge — apprendimento e modulo introduttivo</w:t>
        </w:r>
      </w:hyperlink>
      <w:r>
        <w:rPr>
          <w:rFonts w:ascii="Calibri" w:hAnsi="Calibri"/>
          <w:color w:val="667085"/>
          <w:sz w:val="19"/>
        </w:rPr>
        <w:t xml:space="preserve"> — consultato il 15 agosto 2026</w:t>
      </w:r>
    </w:p>
    <w:p>
      <w:pPr>
        <w:spacing w:after="100"/>
      </w:pPr>
      <w:hyperlink r:id="rId15">
        <w:r>
          <w:rPr>
            <w:color w:val="2E74B5"/>
            <w:u w:val="single"/>
          </w:rPr>
          <w:t>Funbridge — gioco, IA, analisi e modalità</w:t>
        </w:r>
      </w:hyperlink>
      <w:r>
        <w:rPr>
          <w:rFonts w:ascii="Calibri" w:hAnsi="Calibri"/>
          <w:color w:val="667085"/>
          <w:sz w:val="19"/>
        </w:rPr>
        <w:t xml:space="preserve"> — consultato il 15 agosto 2026</w:t>
      </w:r>
    </w:p>
    <w:p>
      <w:pPr>
        <w:spacing w:after="100"/>
      </w:pPr>
      <w:hyperlink r:id="rId16">
        <w:r>
          <w:rPr>
            <w:color w:val="2E74B5"/>
            <w:u w:val="single"/>
          </w:rPr>
          <w:t>Bridge Base Online — caratteristiche</w:t>
        </w:r>
      </w:hyperlink>
      <w:r>
        <w:rPr>
          <w:rFonts w:ascii="Calibri" w:hAnsi="Calibri"/>
          <w:color w:val="667085"/>
          <w:sz w:val="19"/>
        </w:rPr>
        <w:t xml:space="preserve"> — consultato il 15 agosto 2026</w:t>
      </w:r>
    </w:p>
    <w:p>
      <w:pPr>
        <w:spacing w:after="100"/>
      </w:pPr>
      <w:hyperlink r:id="rId17">
        <w:r>
          <w:rPr>
            <w:color w:val="2E74B5"/>
            <w:u w:val="single"/>
          </w:rPr>
          <w:t>Bridge Base Online — pratica e tavoli didattici</w:t>
        </w:r>
      </w:hyperlink>
      <w:r>
        <w:rPr>
          <w:rFonts w:ascii="Calibri" w:hAnsi="Calibri"/>
          <w:color w:val="667085"/>
          <w:sz w:val="19"/>
        </w:rPr>
        <w:t xml:space="preserve"> — consultato il 15 agosto 2026</w:t>
      </w:r>
    </w:p>
    <w:p>
      <w:pPr>
        <w:spacing w:after="100"/>
      </w:pPr>
      <w:hyperlink r:id="rId18">
        <w:r>
          <w:rPr>
            <w:color w:val="2E74B5"/>
            <w:u w:val="single"/>
          </w:rPr>
          <w:t>Bridge Base Online — dimensione della comunità</w:t>
        </w:r>
      </w:hyperlink>
      <w:r>
        <w:rPr>
          <w:rFonts w:ascii="Calibri" w:hAnsi="Calibri"/>
          <w:color w:val="667085"/>
          <w:sz w:val="19"/>
        </w:rPr>
        <w:t xml:space="preserve"> — consultato il 15 agosto 2026</w:t>
      </w:r>
    </w:p>
    <w:p>
      <w:pPr>
        <w:spacing w:after="100"/>
      </w:pPr>
      <w:hyperlink r:id="rId19">
        <w:r>
          <w:rPr>
            <w:color w:val="2E74B5"/>
            <w:u w:val="single"/>
          </w:rPr>
          <w:t>Funbridge — offerte e prezzo Premium</w:t>
        </w:r>
      </w:hyperlink>
      <w:r>
        <w:rPr>
          <w:rFonts w:ascii="Calibri" w:hAnsi="Calibri"/>
          <w:color w:val="667085"/>
          <w:sz w:val="19"/>
        </w:rPr>
        <w:t xml:space="preserve"> — consultato il 15 agosto 2026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A.7 Limiti</w:t>
      </w:r>
    </w:p>
    <w:p>
      <w:pPr>
        <w:keepNext w:val="0"/>
        <w:keepLines w:val="0"/>
        <w:spacing w:before="0" w:after="120" w:line="264" w:lineRule="auto"/>
      </w:pPr>
      <w:r>
        <w:rPr>
          <w:rFonts w:ascii="Calibri" w:hAnsi="Calibri"/>
          <w:i w:val="0"/>
          <w:color w:val="1F2937"/>
          <w:sz w:val="22"/>
        </w:rPr>
        <w:t>La relazione non è un audit legale, contabile, di sicurezza o di accessibilità. Il contratto esaminato è una bozza con revisioni e campi non completati; il valore presuppone la firma del testo sostanzialmente invariato. La durata giuridica della licenza non garantisce una durata economica infinita. La retention deriva dalla definizione della dashboard e non è stata ricalcolata sui dati individuali. Le ore Git sono un limite inferiore. Il carico massimo, gli SLA, i tempi di ripristino, la configurazione effettiva dei backup e il valore contabile della licenza sono non determinabili dalle fonti esaminate.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67085"/>
        <w:sz w:val="17"/>
      </w:rPr>
      <w:t xml:space="preserve">15 agosto 2026   •   </w:t>
    </w:r>
    <w:r>
      <w:rPr>
        <w:rFonts w:ascii="Calibri" w:hAnsi="Calibr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7"/>
      </w:rPr>
      <w:t>BRIDGELAB  |  RELAZIONE PER IL CONSIGLIO FEDERALE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funbridge.com/learn-bridge" TargetMode="External"/><Relationship Id="rId15" Type="http://schemas.openxmlformats.org/officeDocument/2006/relationships/hyperlink" Target="https://funbridge.com/" TargetMode="External"/><Relationship Id="rId16" Type="http://schemas.openxmlformats.org/officeDocument/2006/relationships/hyperlink" Target="https://www.bridgebase.com/intro/features.php" TargetMode="External"/><Relationship Id="rId17" Type="http://schemas.openxmlformats.org/officeDocument/2006/relationships/hyperlink" Target="https://news.bridgebase.com/about-practice/" TargetMode="External"/><Relationship Id="rId18" Type="http://schemas.openxmlformats.org/officeDocument/2006/relationships/hyperlink" Target="https://news.bridgebase.com/about/" TargetMode="External"/><Relationship Id="rId19" Type="http://schemas.openxmlformats.org/officeDocument/2006/relationships/hyperlink" Target="https://funbridge.com/fr/off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Relazione BridgeLab per il Consiglio Federale</dc:title>
  <dc:subject>Funzionalità, adozione, effort, infrastruttura e valore della licenza</dc:subject>
  <dc:creator>Analisi tecnica indipendente</dc:creator>
  <cp:keywords>BridgeLab, FIGB, piattaforma, licenza, infrastruttura, utenti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