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Initial Model Development</w:t>
      </w:r>
    </w:p>
    <w:p>
      <w:pPr>
        <w:spacing w:after="0" w:line="480" w:lineRule="auto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Following the pattern in the notebook's Step 4, four models — a majority-class baseline, logistic regression (standardized features), a decision tree, and a random forest (300 trees) — were fit on a stratified 75/25 train/test split (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results/split_assignment.csv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, seed 42;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n_train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= 176,527,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n_test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= 58,843) and evaluated against three feature sets defined once in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config.FEATURE_SETS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full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(all 50 modeling features),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no_derived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(drops the six construction-derived features including URLSimilarityIndex), and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url_only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(the 18 lexical features readable from the URL string alone, before any page is fetched). Five-fold cross-validated F1 on the training set is reported alongside the held-out test metrics. Precision, recall, F1, and CV F1 are computed for phishing (label 0) as the positive class (config.POS_LABEL), not scikit-learn's default of legitimate (label 1); accuracy and ROC AUC are unaffected by that choice.</w:t>
      </w:r>
    </w:p>
    <w:p>
      <w:pPr>
        <w:spacing w:after="240" w:before="24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300"/>
        <w:gridCol w:w="1600"/>
        <w:gridCol w:w="1200"/>
        <w:gridCol w:w="2200"/>
      </w:tblGrid>
      <w:tr>
        <w:trPr>
          <w:tblHeader/>
        </w:trPr>
        <w:tc>
          <w:tcPr>
            <w:tcW w:type="dxa" w:w="15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Feature set</w:t>
            </w:r>
          </w:p>
        </w:tc>
        <w:tc>
          <w:tcPr>
            <w:tcW w:type="dxa" w:w="20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Model</w:t>
            </w:r>
          </w:p>
        </w:tc>
        <w:tc>
          <w:tcPr>
            <w:tcW w:type="dxa" w:w="13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Accuracy</w:t>
            </w:r>
          </w:p>
        </w:tc>
        <w:tc>
          <w:tcPr>
            <w:tcW w:type="dxa" w:w="16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F1 (phishing)</w:t>
            </w:r>
          </w:p>
        </w:tc>
        <w:tc>
          <w:tcPr>
            <w:tcW w:type="dxa" w:w="12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ROC AUC</w:t>
            </w:r>
          </w:p>
        </w:tc>
        <w:tc>
          <w:tcPr>
            <w:tcW w:type="dxa" w:w="2200"/>
            <w:shd w:fill="D9D9D9" w:color="auto" w:val="clea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CV F1 (phishing, train)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full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Majority baseline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0.5729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full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Logistic regression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0.9998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full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Decision tree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full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Random forest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no_derived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Majority baseline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0.5729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no_derived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Logistic regression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0.9993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0.9991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0.9991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no_derived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Decision tree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0.9990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0.9988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0.9987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no_derived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Random forest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0.9998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0.9998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url_only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Majority baseline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0.5729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0.0000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0.5000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url_only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Logistic regression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0.9959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0.9952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0.9981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0.9954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url_only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Decision tree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0.9972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0.9967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0.9967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0.9966</w:t>
            </w:r>
          </w:p>
        </w:tc>
      </w:tr>
      <w:tr>
        <w:tc>
          <w:tcPr>
            <w:tcW w:type="dxa" w:w="15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url_only</w:t>
            </w:r>
          </w:p>
        </w:tc>
        <w:tc>
          <w:tcPr>
            <w:tcW w:type="dxa" w:w="2000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Random forest</w:t>
            </w:r>
          </w:p>
        </w:tc>
        <w:tc>
          <w:tcPr>
            <w:tcW w:type="dxa" w:w="13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0.9973</w:t>
            </w:r>
          </w:p>
        </w:tc>
        <w:tc>
          <w:tcPr>
            <w:tcW w:type="dxa" w:w="16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0.9968</w:t>
            </w:r>
          </w:p>
        </w:tc>
        <w:tc>
          <w:tcPr>
            <w:tcW w:type="dxa" w:w="1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0.9981</w:t>
            </w:r>
          </w:p>
        </w:tc>
        <w:tc>
          <w:tcPr>
            <w:tcW w:type="dxa" w:w="2200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0.9968</w:t>
            </w:r>
          </w:p>
        </w:tc>
      </w:tr>
    </w:tbl>
    <w:p>
      <w:pPr>
        <w:spacing w:after="0" w:before="240"/>
      </w:pP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Observations: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Accuracy moves from 1.0000 to 0.9999 to 0.9973 across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full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no_derived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→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url_only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— the flat ablation the leakage screen (Section 2) predicted: removing the derived and page-content features costs about a quarter of a percentage point, not a large gap.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majority baseline's phishing F1 is 0.0000 by construction: predicting "legitimate" for every URL never identifies a phishing URL, even though its accuracy (57.29%) matches the class balance.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Precision, recall, F1, and CV F1 above are computed for phishing (label 0) as the positive class, not scikit-learn's default of legitimate (label 1); accuracy and ROC AUC are unaffected by that choice.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Full metrics, per-model confusion matrices, and timestamps are in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results/metrics_stratified_&lt;feature_set&gt;_&lt;model&gt;.json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; the full table is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results/initial_model_comparison.csv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</w:t>
      </w:r>
    </w:p>
    <w:p>
      <w:pPr>
        <w:spacing w:after="120" w:before="240" w:line="240" w:lineRule="auto"/>
        <w:jc w:val="center"/>
      </w:pPr>
      <w:r>
        <w:drawing>
          <wp:inline distT="0" distB="0" distL="0" distR="0">
            <wp:extent cx="52387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Figure 1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br/>
        <w:t xml:space="preserve">Held-out test accuracy by model and feature set.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Observations: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majority baseline (57.3% accuracy) is the floor every learned model is compared against; all three learned models exceed 99.7% accuracy in every feature configuration, regardless of feature set.</w:t>
      </w:r>
    </w:p>
    <w:p>
      <w:pPr>
        <w:spacing w:after="120" w:before="240" w:line="240" w:lineRule="auto"/>
        <w:jc w:val="center"/>
      </w:pPr>
      <w:r>
        <w:drawing>
          <wp:inline distT="0" distB="0" distL="0" distR="0">
            <wp:extent cx="5905500" cy="1495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Figure 2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br/>
        <w:t xml:space="preserve">Held-out confusion matrices for the four url_only models (phishing vs. legitimate).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Observations: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url_only random forest — the strongest model that avoids both construction-derived and page-content features — reaches 99.92% phishing precision and 99.44% phishing recall on the held-out test set: 140 of 25,130 phishing URLs missed, 20 of 33,713 legitimate URLs misclassified.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The majority baseline never predicts phishing at all (0 of 25,130 caught); each learned model closes nearly all of that gap using only URL-lexical features, available before any page is fetched.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43e42813938264326137d3166ffea02b1c5cf4.png"/><Relationship Id="rId8" Type="http://schemas.openxmlformats.org/officeDocument/2006/relationships/image" Target="media/18b682ae7d62f4daeeb4406cc438c0b581dd6cd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2026-09-19T00:33:36.026Z</dcterms:created>
  <dcterms:modified xsi:type="dcterms:W3CDTF">2026-09-19T00:33:36.028Z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