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Image Classification with Convolutional Neural Networks</w:t>
      </w:r>
    </w:p>
    <w:p>
      <w:r>
        <w:t>Albert Kabore, PhD student in AI</w:t>
      </w:r>
    </w:p>
    <w:p>
      <w:r>
        <w:t>Neural Networks Implementation Project Report</w:t>
      </w:r>
    </w:p>
    <w:p>
      <w:pPr>
        <w:pStyle w:val="Heading1"/>
      </w:pPr>
      <w:r>
        <w:t>Introduction</w:t>
      </w:r>
    </w:p>
    <w:p>
      <w:r>
        <w:t>This project studies eight-class image classification with PyTorch CNNs. The Natural Images dataset contains 6,899 labeled photographs of airplanes, cars, cats, dogs, flowers, fruit, motorbikes, and people. The question is whether adding batch normalization and dropout to a compact CNN improves classification when both variants use the same data split, depth, width, optimizer, and training schedule. Model selection uses validation accuracy; accuracy and class-sensitive metrics on held-out images describe the final model's performance.</w:t>
      </w:r>
    </w:p>
    <w:tbl>
      <w:tblPr>
        <w:tblStyle w:val="LightShading-Accent1"/>
        <w:tblW w:type="auto" w:w="0"/>
        <w:tblLook w:firstColumn="1" w:firstRow="1" w:lastColumn="0" w:lastRow="0" w:noHBand="0" w:noVBand="1" w:val="04A0"/>
      </w:tblPr>
      <w:tblGrid>
        <w:gridCol w:w="5040"/>
        <w:gridCol w:w="5040"/>
      </w:tblGrid>
      <w:tr>
        <w:tc>
          <w:tcPr>
            <w:tcW w:type="dxa" w:w="5040"/>
          </w:tcPr>
          <w:p>
            <w:r>
              <w:t>Class</w:t>
            </w:r>
          </w:p>
        </w:tc>
        <w:tc>
          <w:tcPr>
            <w:tcW w:type="dxa" w:w="5040"/>
          </w:tcPr>
          <w:p>
            <w:r>
              <w:t>Images</w:t>
            </w:r>
          </w:p>
        </w:tc>
      </w:tr>
      <w:tr>
        <w:tc>
          <w:tcPr>
            <w:tcW w:type="dxa" w:w="5040"/>
          </w:tcPr>
          <w:p>
            <w:r>
              <w:t>airplane</w:t>
            </w:r>
          </w:p>
        </w:tc>
        <w:tc>
          <w:tcPr>
            <w:tcW w:type="dxa" w:w="5040"/>
          </w:tcPr>
          <w:p>
            <w:r>
              <w:t>727</w:t>
            </w:r>
          </w:p>
        </w:tc>
      </w:tr>
      <w:tr>
        <w:tc>
          <w:tcPr>
            <w:tcW w:type="dxa" w:w="5040"/>
          </w:tcPr>
          <w:p>
            <w:r>
              <w:t>car</w:t>
            </w:r>
          </w:p>
        </w:tc>
        <w:tc>
          <w:tcPr>
            <w:tcW w:type="dxa" w:w="5040"/>
          </w:tcPr>
          <w:p>
            <w:r>
              <w:t>968</w:t>
            </w:r>
          </w:p>
        </w:tc>
      </w:tr>
      <w:tr>
        <w:tc>
          <w:tcPr>
            <w:tcW w:type="dxa" w:w="5040"/>
          </w:tcPr>
          <w:p>
            <w:r>
              <w:t>cat</w:t>
            </w:r>
          </w:p>
        </w:tc>
        <w:tc>
          <w:tcPr>
            <w:tcW w:type="dxa" w:w="5040"/>
          </w:tcPr>
          <w:p>
            <w:r>
              <w:t>885</w:t>
            </w:r>
          </w:p>
        </w:tc>
      </w:tr>
      <w:tr>
        <w:tc>
          <w:tcPr>
            <w:tcW w:type="dxa" w:w="5040"/>
          </w:tcPr>
          <w:p>
            <w:r>
              <w:t>dog</w:t>
            </w:r>
          </w:p>
        </w:tc>
        <w:tc>
          <w:tcPr>
            <w:tcW w:type="dxa" w:w="5040"/>
          </w:tcPr>
          <w:p>
            <w:r>
              <w:t>702</w:t>
            </w:r>
          </w:p>
        </w:tc>
      </w:tr>
      <w:tr>
        <w:tc>
          <w:tcPr>
            <w:tcW w:type="dxa" w:w="5040"/>
          </w:tcPr>
          <w:p>
            <w:r>
              <w:t>flower</w:t>
            </w:r>
          </w:p>
        </w:tc>
        <w:tc>
          <w:tcPr>
            <w:tcW w:type="dxa" w:w="5040"/>
          </w:tcPr>
          <w:p>
            <w:r>
              <w:t>843</w:t>
            </w:r>
          </w:p>
        </w:tc>
      </w:tr>
      <w:tr>
        <w:tc>
          <w:tcPr>
            <w:tcW w:type="dxa" w:w="5040"/>
          </w:tcPr>
          <w:p>
            <w:r>
              <w:t>fruit</w:t>
            </w:r>
          </w:p>
        </w:tc>
        <w:tc>
          <w:tcPr>
            <w:tcW w:type="dxa" w:w="5040"/>
          </w:tcPr>
          <w:p>
            <w:r>
              <w:t>1000</w:t>
            </w:r>
          </w:p>
        </w:tc>
      </w:tr>
      <w:tr>
        <w:tc>
          <w:tcPr>
            <w:tcW w:type="dxa" w:w="5040"/>
          </w:tcPr>
          <w:p>
            <w:r>
              <w:t>motorbike</w:t>
            </w:r>
          </w:p>
        </w:tc>
        <w:tc>
          <w:tcPr>
            <w:tcW w:type="dxa" w:w="5040"/>
          </w:tcPr>
          <w:p>
            <w:r>
              <w:t>788</w:t>
            </w:r>
          </w:p>
        </w:tc>
      </w:tr>
      <w:tr>
        <w:tc>
          <w:tcPr>
            <w:tcW w:type="dxa" w:w="5040"/>
          </w:tcPr>
          <w:p>
            <w:r>
              <w:t>person</w:t>
            </w:r>
          </w:p>
        </w:tc>
        <w:tc>
          <w:tcPr>
            <w:tcW w:type="dxa" w:w="5040"/>
          </w:tcPr>
          <w:p>
            <w:r>
              <w:t>986</w:t>
            </w:r>
          </w:p>
        </w:tc>
      </w:tr>
    </w:tbl>
    <w:p>
      <w:r>
        <w:drawing>
          <wp:inline xmlns:a="http://schemas.openxmlformats.org/drawingml/2006/main" xmlns:pic="http://schemas.openxmlformats.org/drawingml/2006/picture">
            <wp:extent cx="6217920" cy="3086076"/>
            <wp:docPr id="1" name="Picture 1"/>
            <wp:cNvGraphicFramePr>
              <a:graphicFrameLocks noChangeAspect="1"/>
            </wp:cNvGraphicFramePr>
            <a:graphic>
              <a:graphicData uri="http://schemas.openxmlformats.org/drawingml/2006/picture">
                <pic:pic>
                  <pic:nvPicPr>
                    <pic:cNvPr id="0" name="dataset_overview.png"/>
                    <pic:cNvPicPr/>
                  </pic:nvPicPr>
                  <pic:blipFill>
                    <a:blip r:embed="rId9"/>
                    <a:stretch>
                      <a:fillRect/>
                    </a:stretch>
                  </pic:blipFill>
                  <pic:spPr>
                    <a:xfrm>
                      <a:off x="0" y="0"/>
                      <a:ext cx="6217920" cy="3086076"/>
                    </a:xfrm>
                    <a:prstGeom prst="rect"/>
                  </pic:spPr>
                </pic:pic>
              </a:graphicData>
            </a:graphic>
          </wp:inline>
        </w:drawing>
      </w:r>
    </w:p>
    <w:p>
      <w:r>
        <w:t>Figure 1. Natural Images class counts and one example image from each category. Class frequencies range from 702 dogs to 1,000 fruit images.</w:t>
      </w:r>
    </w:p>
    <w:p>
      <w:pPr>
        <w:pStyle w:val="Heading1"/>
      </w:pPr>
      <w:r>
        <w:t>Methodology</w:t>
      </w:r>
    </w:p>
    <w:p>
      <w:pPr>
        <w:pStyle w:val="Heading2"/>
      </w:pPr>
      <w:r>
        <w:t>Preprocessing steps</w:t>
      </w:r>
    </w:p>
    <w:p>
      <w:r>
        <w:t>Images were divided with stratified random sampling (seed 42) into 4829 training, 1035 validation, and 1035 test examples (70/15/15). Validation accuracy selected the architecture; its checkpoint was then evaluated on the test set before the later tuning sweep. All images were converted to RGB, resized to 48 x 48 pixels, and scaled from 0-255 to 0-1. Training images alone received random horizontal flips and brightness changes (factor 0.85-1.15).</w:t>
      </w:r>
    </w:p>
    <w:p>
      <w:r>
        <w:t>Class labels were inferred from the eight folder names. The training loader shuffles images; validation and test images receive deterministic resizing and scaling only. The stratified split preserves the unequal class frequencies across subsets.</w:t>
      </w:r>
    </w:p>
    <w:p>
      <w:pPr>
        <w:pStyle w:val="Heading2"/>
      </w:pPr>
      <w:r>
        <w:t>CNN architecture design</w:t>
      </w:r>
    </w:p>
    <w:p>
      <w:r>
        <w:t>Both networks use three 3x3 convolution blocks with 16, 32, and 64 output channels. Each block has ReLU and 2x2 max pooling. Global average pooling maps each channel to one value, followed by a linear eight-class classifier. The regularized variant adds batch normalization after every convolution and 30% dropout before the classifier. The baseline omits both. This comparison tests the combined design change while keeping network width and depth fixed.</w:t>
      </w:r>
    </w:p>
    <w:p>
      <w:r>
        <w:drawing>
          <wp:inline xmlns:a="http://schemas.openxmlformats.org/drawingml/2006/main" xmlns:pic="http://schemas.openxmlformats.org/drawingml/2006/picture">
            <wp:extent cx="6309360" cy="836180"/>
            <wp:docPr id="2" name="Picture 2"/>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6309360" cy="836180"/>
                    </a:xfrm>
                    <a:prstGeom prst="rect"/>
                  </pic:spPr>
                </pic:pic>
              </a:graphicData>
            </a:graphic>
          </wp:inline>
        </w:drawing>
      </w:r>
    </w:p>
    <w:p>
      <w:r>
        <w:t>Figure 2. Shared CNN architecture. The regularized variant additionally applies batch normalization and dropout as noted in each block.</w:t>
      </w:r>
    </w:p>
    <w:p>
      <w:pPr>
        <w:pStyle w:val="Heading2"/>
      </w:pPr>
      <w:r>
        <w:t>Training setup and hyperparameters</w:t>
      </w:r>
    </w:p>
    <w:p>
      <w:r>
        <w:t>Both variants were trained for 3 epochs using cross entropy loss, Adam with learning rate 0.001, and batch size 64. The checkpoint with the highest validation accuracy for each variant was saved; the variant with the higher validation accuracy was selected. Ties favor the baseline. Training ran on cpu. No test labels were used for optimization. These starting hyperparameters were then tuned by a grid search over learning rate and dropout rate, reported and justified in the Discussion section.</w:t>
      </w:r>
    </w:p>
    <w:tbl>
      <w:tblPr>
        <w:tblStyle w:val="LightShading-Accent1"/>
        <w:tblW w:type="auto" w:w="0"/>
        <w:tblLook w:firstColumn="1" w:firstRow="1" w:lastColumn="0" w:lastRow="0" w:noHBand="0" w:noVBand="1" w:val="04A0"/>
      </w:tblPr>
      <w:tblGrid>
        <w:gridCol w:w="5040"/>
        <w:gridCol w:w="5040"/>
      </w:tblGrid>
      <w:tr>
        <w:tc>
          <w:tcPr>
            <w:tcW w:type="dxa" w:w="5040"/>
          </w:tcPr>
          <w:p>
            <w:r>
              <w:t>Setting</w:t>
            </w:r>
          </w:p>
        </w:tc>
        <w:tc>
          <w:tcPr>
            <w:tcW w:type="dxa" w:w="5040"/>
          </w:tcPr>
          <w:p>
            <w:r>
              <w:t>Value</w:t>
            </w:r>
          </w:p>
        </w:tc>
      </w:tr>
      <w:tr>
        <w:tc>
          <w:tcPr>
            <w:tcW w:type="dxa" w:w="5040"/>
          </w:tcPr>
          <w:p>
            <w:r>
              <w:t>Framework / device</w:t>
            </w:r>
          </w:p>
        </w:tc>
        <w:tc>
          <w:tcPr>
            <w:tcW w:type="dxa" w:w="5040"/>
          </w:tcPr>
          <w:p>
            <w:r>
              <w:t>PyTorch / cpu</w:t>
            </w:r>
          </w:p>
        </w:tc>
      </w:tr>
      <w:tr>
        <w:tc>
          <w:tcPr>
            <w:tcW w:type="dxa" w:w="5040"/>
          </w:tcPr>
          <w:p>
            <w:r>
              <w:t>Input</w:t>
            </w:r>
          </w:p>
        </w:tc>
        <w:tc>
          <w:tcPr>
            <w:tcW w:type="dxa" w:w="5040"/>
          </w:tcPr>
          <w:p>
            <w:r>
              <w:t>RGB, 48 × 48 pixels; values 0–1</w:t>
            </w:r>
          </w:p>
        </w:tc>
      </w:tr>
      <w:tr>
        <w:tc>
          <w:tcPr>
            <w:tcW w:type="dxa" w:w="5040"/>
          </w:tcPr>
          <w:p>
            <w:r>
              <w:t>Optimizer / loss</w:t>
            </w:r>
          </w:p>
        </w:tc>
        <w:tc>
          <w:tcPr>
            <w:tcW w:type="dxa" w:w="5040"/>
          </w:tcPr>
          <w:p>
            <w:r>
              <w:t>Adam / cross entropy</w:t>
            </w:r>
          </w:p>
        </w:tc>
      </w:tr>
      <w:tr>
        <w:tc>
          <w:tcPr>
            <w:tcW w:type="dxa" w:w="5040"/>
          </w:tcPr>
          <w:p>
            <w:r>
              <w:t>Initial learning rate</w:t>
            </w:r>
          </w:p>
        </w:tc>
        <w:tc>
          <w:tcPr>
            <w:tcW w:type="dxa" w:w="5040"/>
          </w:tcPr>
          <w:p>
            <w:r>
              <w:t>0.001</w:t>
            </w:r>
          </w:p>
        </w:tc>
      </w:tr>
      <w:tr>
        <w:tc>
          <w:tcPr>
            <w:tcW w:type="dxa" w:w="5040"/>
          </w:tcPr>
          <w:p>
            <w:r>
              <w:t>Batch size / epochs</w:t>
            </w:r>
          </w:p>
        </w:tc>
        <w:tc>
          <w:tcPr>
            <w:tcW w:type="dxa" w:w="5040"/>
          </w:tcPr>
          <w:p>
            <w:r>
              <w:t>64 / 3 per architecture</w:t>
            </w:r>
          </w:p>
        </w:tc>
      </w:tr>
      <w:tr>
        <w:tc>
          <w:tcPr>
            <w:tcW w:type="dxa" w:w="5040"/>
          </w:tcPr>
          <w:p>
            <w:r>
              <w:t>Regularized variant</w:t>
            </w:r>
          </w:p>
        </w:tc>
        <w:tc>
          <w:tcPr>
            <w:tcW w:type="dxa" w:w="5040"/>
          </w:tcPr>
          <w:p>
            <w:r>
              <w:t>Batch normalization; 30% dropout</w:t>
            </w:r>
          </w:p>
        </w:tc>
      </w:tr>
      <w:tr>
        <w:tc>
          <w:tcPr>
            <w:tcW w:type="dxa" w:w="5040"/>
          </w:tcPr>
          <w:p>
            <w:r>
              <w:t>Random seed / selection</w:t>
            </w:r>
          </w:p>
        </w:tc>
        <w:tc>
          <w:tcPr>
            <w:tcW w:type="dxa" w:w="5040"/>
          </w:tcPr>
          <w:p>
            <w:r>
              <w:t>42 / highest validation accuracy</w:t>
            </w:r>
          </w:p>
        </w:tc>
      </w:tr>
    </w:tbl>
    <w:p>
      <w:r>
        <w:t>Starting from the winning architecture, learning rate and dropout were tuned by a two-stage grid search, each run for 3 epochs and scored by validation accuracy. First, the learning rate was swept with dropout fixed at its original value; then dropout was swept at the best learning rate found. This keeps the search small (six training runs, including one repeated configuration) while probing both an optimization and a regularization hyperparameter.</w:t>
      </w:r>
    </w:p>
    <w:p>
      <w:pPr>
        <w:pStyle w:val="Heading1"/>
      </w:pPr>
      <w:r>
        <w:t>Results</w:t>
      </w:r>
    </w:p>
    <w:p>
      <w:pPr>
        <w:pStyle w:val="Heading2"/>
      </w:pPr>
      <w:r>
        <w:t>Performance metrics</w:t>
      </w:r>
    </w:p>
    <w:p>
      <w:r>
        <w:t>Baseline best validation accuracy: 54.686%</w:t>
      </w:r>
    </w:p>
    <w:p>
      <w:r>
        <w:t>Regularized best validation accuracy: 75.556%</w:t>
      </w:r>
    </w:p>
    <w:p>
      <w:r>
        <w:t>Selected model: regularized. Test accuracy: 74.589%; macro precision: 0.737; macro recall: 0.727; macro F1: 0.712; test cross entropy: 0.732.</w:t>
      </w:r>
    </w:p>
    <w:p>
      <w:r>
        <w:t>Macro metrics average the eight classes equally. The test accuracy uses all held-out examples. Per-class precision, recall, and F1-score are shown below.</w:t>
      </w:r>
    </w:p>
    <w:tbl>
      <w:tblPr>
        <w:tblStyle w:val="LightShading-Accent1"/>
        <w:tblW w:type="auto" w:w="0"/>
        <w:tblLook w:firstColumn="1" w:firstRow="1" w:lastColumn="0" w:lastRow="0" w:noHBand="0" w:noVBand="1" w:val="04A0"/>
      </w:tblPr>
      <w:tblGrid>
        <w:gridCol w:w="2016"/>
        <w:gridCol w:w="2016"/>
        <w:gridCol w:w="2016"/>
        <w:gridCol w:w="2016"/>
        <w:gridCol w:w="2016"/>
      </w:tblGrid>
      <w:tr>
        <w:tc>
          <w:tcPr>
            <w:tcW w:type="dxa" w:w="2016"/>
          </w:tcPr>
          <w:p>
            <w:r>
              <w:t>Class</w:t>
            </w:r>
          </w:p>
        </w:tc>
        <w:tc>
          <w:tcPr>
            <w:tcW w:type="dxa" w:w="2016"/>
          </w:tcPr>
          <w:p>
            <w:r>
              <w:t>Precision</w:t>
            </w:r>
          </w:p>
        </w:tc>
        <w:tc>
          <w:tcPr>
            <w:tcW w:type="dxa" w:w="2016"/>
          </w:tcPr>
          <w:p>
            <w:r>
              <w:t>Recall</w:t>
            </w:r>
          </w:p>
        </w:tc>
        <w:tc>
          <w:tcPr>
            <w:tcW w:type="dxa" w:w="2016"/>
          </w:tcPr>
          <w:p>
            <w:r>
              <w:t>F1-score</w:t>
            </w:r>
          </w:p>
        </w:tc>
        <w:tc>
          <w:tcPr>
            <w:tcW w:type="dxa" w:w="2016"/>
          </w:tcPr>
          <w:p>
            <w:r>
              <w:t>Support</w:t>
            </w:r>
          </w:p>
        </w:tc>
      </w:tr>
      <w:tr>
        <w:tc>
          <w:tcPr>
            <w:tcW w:type="dxa" w:w="2016"/>
          </w:tcPr>
          <w:p>
            <w:r>
              <w:t>airplane</w:t>
            </w:r>
          </w:p>
        </w:tc>
        <w:tc>
          <w:tcPr>
            <w:tcW w:type="dxa" w:w="2016"/>
          </w:tcPr>
          <w:p>
            <w:r>
              <w:t>0.759</w:t>
            </w:r>
          </w:p>
        </w:tc>
        <w:tc>
          <w:tcPr>
            <w:tcW w:type="dxa" w:w="2016"/>
          </w:tcPr>
          <w:p>
            <w:r>
              <w:t>0.807</w:t>
            </w:r>
          </w:p>
        </w:tc>
        <w:tc>
          <w:tcPr>
            <w:tcW w:type="dxa" w:w="2016"/>
          </w:tcPr>
          <w:p>
            <w:r>
              <w:t>0.782</w:t>
            </w:r>
          </w:p>
        </w:tc>
        <w:tc>
          <w:tcPr>
            <w:tcW w:type="dxa" w:w="2016"/>
          </w:tcPr>
          <w:p>
            <w:r>
              <w:t>109</w:t>
            </w:r>
          </w:p>
        </w:tc>
      </w:tr>
      <w:tr>
        <w:tc>
          <w:tcPr>
            <w:tcW w:type="dxa" w:w="2016"/>
          </w:tcPr>
          <w:p>
            <w:r>
              <w:t>car</w:t>
            </w:r>
          </w:p>
        </w:tc>
        <w:tc>
          <w:tcPr>
            <w:tcW w:type="dxa" w:w="2016"/>
          </w:tcPr>
          <w:p>
            <w:r>
              <w:t>0.831</w:t>
            </w:r>
          </w:p>
        </w:tc>
        <w:tc>
          <w:tcPr>
            <w:tcW w:type="dxa" w:w="2016"/>
          </w:tcPr>
          <w:p>
            <w:r>
              <w:t>0.745</w:t>
            </w:r>
          </w:p>
        </w:tc>
        <w:tc>
          <w:tcPr>
            <w:tcW w:type="dxa" w:w="2016"/>
          </w:tcPr>
          <w:p>
            <w:r>
              <w:t>0.785</w:t>
            </w:r>
          </w:p>
        </w:tc>
        <w:tc>
          <w:tcPr>
            <w:tcW w:type="dxa" w:w="2016"/>
          </w:tcPr>
          <w:p>
            <w:r>
              <w:t>145</w:t>
            </w:r>
          </w:p>
        </w:tc>
      </w:tr>
      <w:tr>
        <w:tc>
          <w:tcPr>
            <w:tcW w:type="dxa" w:w="2016"/>
          </w:tcPr>
          <w:p>
            <w:r>
              <w:t>cat</w:t>
            </w:r>
          </w:p>
        </w:tc>
        <w:tc>
          <w:tcPr>
            <w:tcW w:type="dxa" w:w="2016"/>
          </w:tcPr>
          <w:p>
            <w:r>
              <w:t>0.608</w:t>
            </w:r>
          </w:p>
        </w:tc>
        <w:tc>
          <w:tcPr>
            <w:tcW w:type="dxa" w:w="2016"/>
          </w:tcPr>
          <w:p>
            <w:r>
              <w:t>0.466</w:t>
            </w:r>
          </w:p>
        </w:tc>
        <w:tc>
          <w:tcPr>
            <w:tcW w:type="dxa" w:w="2016"/>
          </w:tcPr>
          <w:p>
            <w:r>
              <w:t>0.528</w:t>
            </w:r>
          </w:p>
        </w:tc>
        <w:tc>
          <w:tcPr>
            <w:tcW w:type="dxa" w:w="2016"/>
          </w:tcPr>
          <w:p>
            <w:r>
              <w:t>133</w:t>
            </w:r>
          </w:p>
        </w:tc>
      </w:tr>
      <w:tr>
        <w:tc>
          <w:tcPr>
            <w:tcW w:type="dxa" w:w="2016"/>
          </w:tcPr>
          <w:p>
            <w:r>
              <w:t>dog</w:t>
            </w:r>
          </w:p>
        </w:tc>
        <w:tc>
          <w:tcPr>
            <w:tcW w:type="dxa" w:w="2016"/>
          </w:tcPr>
          <w:p>
            <w:r>
              <w:t>0.500</w:t>
            </w:r>
          </w:p>
        </w:tc>
        <w:tc>
          <w:tcPr>
            <w:tcW w:type="dxa" w:w="2016"/>
          </w:tcPr>
          <w:p>
            <w:r>
              <w:t>0.171</w:t>
            </w:r>
          </w:p>
        </w:tc>
        <w:tc>
          <w:tcPr>
            <w:tcW w:type="dxa" w:w="2016"/>
          </w:tcPr>
          <w:p>
            <w:r>
              <w:t>0.255</w:t>
            </w:r>
          </w:p>
        </w:tc>
        <w:tc>
          <w:tcPr>
            <w:tcW w:type="dxa" w:w="2016"/>
          </w:tcPr>
          <w:p>
            <w:r>
              <w:t>105</w:t>
            </w:r>
          </w:p>
        </w:tc>
      </w:tr>
      <w:tr>
        <w:tc>
          <w:tcPr>
            <w:tcW w:type="dxa" w:w="2016"/>
          </w:tcPr>
          <w:p>
            <w:r>
              <w:t>flower</w:t>
            </w:r>
          </w:p>
        </w:tc>
        <w:tc>
          <w:tcPr>
            <w:tcW w:type="dxa" w:w="2016"/>
          </w:tcPr>
          <w:p>
            <w:r>
              <w:t>0.959</w:t>
            </w:r>
          </w:p>
        </w:tc>
        <w:tc>
          <w:tcPr>
            <w:tcW w:type="dxa" w:w="2016"/>
          </w:tcPr>
          <w:p>
            <w:r>
              <w:t>0.732</w:t>
            </w:r>
          </w:p>
        </w:tc>
        <w:tc>
          <w:tcPr>
            <w:tcW w:type="dxa" w:w="2016"/>
          </w:tcPr>
          <w:p>
            <w:r>
              <w:t>0.830</w:t>
            </w:r>
          </w:p>
        </w:tc>
        <w:tc>
          <w:tcPr>
            <w:tcW w:type="dxa" w:w="2016"/>
          </w:tcPr>
          <w:p>
            <w:r>
              <w:t>127</w:t>
            </w:r>
          </w:p>
        </w:tc>
      </w:tr>
      <w:tr>
        <w:tc>
          <w:tcPr>
            <w:tcW w:type="dxa" w:w="2016"/>
          </w:tcPr>
          <w:p>
            <w:r>
              <w:t>fruit</w:t>
            </w:r>
          </w:p>
        </w:tc>
        <w:tc>
          <w:tcPr>
            <w:tcW w:type="dxa" w:w="2016"/>
          </w:tcPr>
          <w:p>
            <w:r>
              <w:t>0.872</w:t>
            </w:r>
          </w:p>
        </w:tc>
        <w:tc>
          <w:tcPr>
            <w:tcW w:type="dxa" w:w="2016"/>
          </w:tcPr>
          <w:p>
            <w:r>
              <w:t>1.000</w:t>
            </w:r>
          </w:p>
        </w:tc>
        <w:tc>
          <w:tcPr>
            <w:tcW w:type="dxa" w:w="2016"/>
          </w:tcPr>
          <w:p>
            <w:r>
              <w:t>0.932</w:t>
            </w:r>
          </w:p>
        </w:tc>
        <w:tc>
          <w:tcPr>
            <w:tcW w:type="dxa" w:w="2016"/>
          </w:tcPr>
          <w:p>
            <w:r>
              <w:t>150</w:t>
            </w:r>
          </w:p>
        </w:tc>
      </w:tr>
      <w:tr>
        <w:tc>
          <w:tcPr>
            <w:tcW w:type="dxa" w:w="2016"/>
          </w:tcPr>
          <w:p>
            <w:r>
              <w:t>motorbike</w:t>
            </w:r>
          </w:p>
        </w:tc>
        <w:tc>
          <w:tcPr>
            <w:tcW w:type="dxa" w:w="2016"/>
          </w:tcPr>
          <w:p>
            <w:r>
              <w:t>0.768</w:t>
            </w:r>
          </w:p>
        </w:tc>
        <w:tc>
          <w:tcPr>
            <w:tcW w:type="dxa" w:w="2016"/>
          </w:tcPr>
          <w:p>
            <w:r>
              <w:t>0.924</w:t>
            </w:r>
          </w:p>
        </w:tc>
        <w:tc>
          <w:tcPr>
            <w:tcW w:type="dxa" w:w="2016"/>
          </w:tcPr>
          <w:p>
            <w:r>
              <w:t>0.838</w:t>
            </w:r>
          </w:p>
        </w:tc>
        <w:tc>
          <w:tcPr>
            <w:tcW w:type="dxa" w:w="2016"/>
          </w:tcPr>
          <w:p>
            <w:r>
              <w:t>118</w:t>
            </w:r>
          </w:p>
        </w:tc>
      </w:tr>
      <w:tr>
        <w:tc>
          <w:tcPr>
            <w:tcW w:type="dxa" w:w="2016"/>
          </w:tcPr>
          <w:p>
            <w:r>
              <w:t>person</w:t>
            </w:r>
          </w:p>
        </w:tc>
        <w:tc>
          <w:tcPr>
            <w:tcW w:type="dxa" w:w="2016"/>
          </w:tcPr>
          <w:p>
            <w:r>
              <w:t>0.600</w:t>
            </w:r>
          </w:p>
        </w:tc>
        <w:tc>
          <w:tcPr>
            <w:tcW w:type="dxa" w:w="2016"/>
          </w:tcPr>
          <w:p>
            <w:r>
              <w:t>0.973</w:t>
            </w:r>
          </w:p>
        </w:tc>
        <w:tc>
          <w:tcPr>
            <w:tcW w:type="dxa" w:w="2016"/>
          </w:tcPr>
          <w:p>
            <w:r>
              <w:t>0.742</w:t>
            </w:r>
          </w:p>
        </w:tc>
        <w:tc>
          <w:tcPr>
            <w:tcW w:type="dxa" w:w="2016"/>
          </w:tcPr>
          <w:p>
            <w:r>
              <w:t>148</w:t>
            </w:r>
          </w:p>
        </w:tc>
      </w:tr>
    </w:tbl>
    <w:p>
      <w:pPr>
        <w:pStyle w:val="Heading2"/>
      </w:pPr>
      <w:r>
        <w:t>Confusion matrix and classification report</w:t>
      </w:r>
    </w:p>
    <w:p>
      <w:r>
        <w:drawing>
          <wp:inline xmlns:a="http://schemas.openxmlformats.org/drawingml/2006/main" xmlns:pic="http://schemas.openxmlformats.org/drawingml/2006/picture">
            <wp:extent cx="5120640" cy="438912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120640" cy="4389120"/>
                    </a:xfrm>
                    <a:prstGeom prst="rect"/>
                  </pic:spPr>
                </pic:pic>
              </a:graphicData>
            </a:graphic>
          </wp:inline>
        </w:drawing>
      </w:r>
    </w:p>
    <w:p>
      <w:r>
        <w:t>Figure 3. Confusion matrix for the selected model on the held-out test set. Rows are true labels; columns are predictions.</w:t>
      </w:r>
    </w:p>
    <w:p>
      <w:pPr>
        <w:pStyle w:val="Heading2"/>
      </w:pPr>
      <w:r>
        <w:t>Training/validation loss and accuracy curves</w:t>
      </w:r>
    </w:p>
    <w:p>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training_curves.png"/>
                    <pic:cNvPicPr/>
                  </pic:nvPicPr>
                  <pic:blipFill>
                    <a:blip r:embed="rId12"/>
                    <a:stretch>
                      <a:fillRect/>
                    </a:stretch>
                  </pic:blipFill>
                  <pic:spPr>
                    <a:xfrm>
                      <a:off x="0" y="0"/>
                      <a:ext cx="5669280" cy="2267712"/>
                    </a:xfrm>
                    <a:prstGeom prst="rect"/>
                  </pic:spPr>
                </pic:pic>
              </a:graphicData>
            </a:graphic>
          </wp:inline>
        </w:drawing>
      </w:r>
    </w:p>
    <w:p>
      <w:r>
        <w:t>Figure 4. Training and validation loss and accuracy for both CNN variants. Each dashed line is validation performance.</w:t>
      </w:r>
    </w:p>
    <w:p>
      <w:r>
        <w:t>Across three epochs, baseline validation accuracy rose from 40.2% to 54.7%, while the regularized variant rose from 63.6% to 75.6%. Validation losses declined for both models over the observed training period; the curves do not establish convergence after only three epochs.</w:t>
      </w:r>
    </w:p>
    <w:p>
      <w:pPr>
        <w:pStyle w:val="Heading2"/>
      </w:pPr>
      <w:r>
        <w:t>Visual summary</w:t>
      </w:r>
    </w:p>
    <w:p>
      <w:r>
        <w:drawing>
          <wp:inline xmlns:a="http://schemas.openxmlformats.org/drawingml/2006/main" xmlns:pic="http://schemas.openxmlformats.org/drawingml/2006/picture">
            <wp:extent cx="6035040" cy="4019114"/>
            <wp:docPr id="5" name="Picture 5"/>
            <wp:cNvGraphicFramePr>
              <a:graphicFrameLocks noChangeAspect="1"/>
            </wp:cNvGraphicFramePr>
            <a:graphic>
              <a:graphicData uri="http://schemas.openxmlformats.org/drawingml/2006/picture">
                <pic:pic>
                  <pic:nvPicPr>
                    <pic:cNvPr id="0" name="performance_dashboard.png"/>
                    <pic:cNvPicPr/>
                  </pic:nvPicPr>
                  <pic:blipFill>
                    <a:blip r:embed="rId13"/>
                    <a:stretch>
                      <a:fillRect/>
                    </a:stretch>
                  </pic:blipFill>
                  <pic:spPr>
                    <a:xfrm>
                      <a:off x="0" y="0"/>
                      <a:ext cx="6035040" cy="4019114"/>
                    </a:xfrm>
                    <a:prstGeom prst="rect"/>
                  </pic:spPr>
                </pic:pic>
              </a:graphicData>
            </a:graphic>
          </wp:inline>
        </w:drawing>
      </w:r>
    </w:p>
    <w:p>
      <w:r>
        <w:t>Figure 5. Validation architecture comparison, held-out class metrics, aggregate test metrics, and separate learning-rate and dropout sweeps.</w:t>
      </w:r>
    </w:p>
    <w:p>
      <w:pPr>
        <w:pStyle w:val="Heading1"/>
      </w:pPr>
      <w:r>
        <w:t>Discussion</w:t>
      </w:r>
    </w:p>
    <w:p>
      <w:pPr>
        <w:pStyle w:val="Heading2"/>
      </w:pPr>
      <w:r>
        <w:t>Observations, challenges, and insights</w:t>
      </w:r>
    </w:p>
    <w:p>
      <w:r>
        <w:t>On the test set, recall was highest for fruit (1.000) and lowest for dog (0.171). Per the confusion matrix, the largest confusion errors on the test set were 43 true 'cat' images predicted as 'person'; 40 true 'dog' images predicted as 'person'; 25 true 'dog' images predicted as 'cat'. This shows that aggregate accuracy alone does not describe performance across all categories, and that per-class recall is a more informative diagnostic than a single accuracy number.</w:t>
      </w:r>
    </w:p>
    <w:p>
      <w:r>
        <w:t>Training used a CPU, so images were resized to 48x48 and the CNN was limited to three convolution blocks. With 3 epochs per run, neither learning curve proves convergence. The baseline's lower training and validation accuracy suggests that optimization and model capacity, as well as regularization, could affect the observed gap. The repeated learning-rate/dropout setting produced different validation scores in the two search stages; this illustrates uncertainty from short stochastic runs, but two observations are insufficient to estimate run-to-run variance reliably.</w:t>
      </w:r>
    </w:p>
    <w:p>
      <w:pPr>
        <w:pStyle w:val="Heading2"/>
      </w:pPr>
      <w:r>
        <w:t>Justification for design and optimization decisions</w:t>
      </w:r>
    </w:p>
    <w:p>
      <w:r>
        <w:t>The combined batch-normalization and 30%-dropout architecture was selected over the baseline because it reached 75.556% best validation accuracy versus 54.686% for the baseline under identical data, epochs, and optimizer settings. Batch normalization normalizes minibatch activations; dropout randomly removes classifier inputs during training. Because both were introduced together, these experiments do not isolate either component's individual contribution. Global average pooling limits classifier parameters compared with flattening a full feature map, which suits the small training set and CPU budget.</w:t>
      </w:r>
    </w:p>
    <w:tbl>
      <w:tblPr>
        <w:tblStyle w:val="LightShading-Accent1"/>
        <w:tblW w:type="auto" w:w="0"/>
        <w:tblLook w:firstColumn="1" w:firstRow="1" w:lastColumn="0" w:lastRow="0" w:noHBand="0" w:noVBand="1" w:val="04A0"/>
      </w:tblPr>
      <w:tblGrid>
        <w:gridCol w:w="5040"/>
        <w:gridCol w:w="5040"/>
      </w:tblGrid>
      <w:tr>
        <w:tc>
          <w:tcPr>
            <w:tcW w:type="dxa" w:w="5040"/>
          </w:tcPr>
          <w:p>
            <w:r>
              <w:t>Learning rate</w:t>
            </w:r>
          </w:p>
        </w:tc>
        <w:tc>
          <w:tcPr>
            <w:tcW w:type="dxa" w:w="5040"/>
          </w:tcPr>
          <w:p>
            <w:r>
              <w:t>Best validation accuracy</w:t>
            </w:r>
          </w:p>
        </w:tc>
      </w:tr>
      <w:tr>
        <w:tc>
          <w:tcPr>
            <w:tcW w:type="dxa" w:w="5040"/>
          </w:tcPr>
          <w:p>
            <w:r>
              <w:t>0.0003</w:t>
            </w:r>
          </w:p>
        </w:tc>
        <w:tc>
          <w:tcPr>
            <w:tcW w:type="dxa" w:w="5040"/>
          </w:tcPr>
          <w:p>
            <w:r>
              <w:t>69.469%</w:t>
            </w:r>
          </w:p>
        </w:tc>
      </w:tr>
      <w:tr>
        <w:tc>
          <w:tcPr>
            <w:tcW w:type="dxa" w:w="5040"/>
          </w:tcPr>
          <w:p>
            <w:r>
              <w:t>0.001</w:t>
            </w:r>
          </w:p>
        </w:tc>
        <w:tc>
          <w:tcPr>
            <w:tcW w:type="dxa" w:w="5040"/>
          </w:tcPr>
          <w:p>
            <w:r>
              <w:t>75.556%</w:t>
            </w:r>
          </w:p>
        </w:tc>
      </w:tr>
      <w:tr>
        <w:tc>
          <w:tcPr>
            <w:tcW w:type="dxa" w:w="5040"/>
          </w:tcPr>
          <w:p>
            <w:r>
              <w:t>0.003</w:t>
            </w:r>
          </w:p>
        </w:tc>
        <w:tc>
          <w:tcPr>
            <w:tcW w:type="dxa" w:w="5040"/>
          </w:tcPr>
          <w:p>
            <w:r>
              <w:t>68.986%</w:t>
            </w:r>
          </w:p>
        </w:tc>
      </w:tr>
    </w:tbl>
    <w:p>
      <w:r>
        <w:t>Best learning rate: 0.001.</w:t>
      </w:r>
    </w:p>
    <w:tbl>
      <w:tblPr>
        <w:tblStyle w:val="LightShading-Accent1"/>
        <w:tblW w:type="auto" w:w="0"/>
        <w:tblLook w:firstColumn="1" w:firstRow="1" w:lastColumn="0" w:lastRow="0" w:noHBand="0" w:noVBand="1" w:val="04A0"/>
      </w:tblPr>
      <w:tblGrid>
        <w:gridCol w:w="5040"/>
        <w:gridCol w:w="5040"/>
      </w:tblGrid>
      <w:tr>
        <w:tc>
          <w:tcPr>
            <w:tcW w:type="dxa" w:w="5040"/>
          </w:tcPr>
          <w:p>
            <w:r>
              <w:t>Dropout rate</w:t>
            </w:r>
          </w:p>
        </w:tc>
        <w:tc>
          <w:tcPr>
            <w:tcW w:type="dxa" w:w="5040"/>
          </w:tcPr>
          <w:p>
            <w:r>
              <w:t>Best validation accuracy</w:t>
            </w:r>
          </w:p>
        </w:tc>
      </w:tr>
      <w:tr>
        <w:tc>
          <w:tcPr>
            <w:tcW w:type="dxa" w:w="5040"/>
          </w:tcPr>
          <w:p>
            <w:r>
              <w:t>0.1</w:t>
            </w:r>
          </w:p>
        </w:tc>
        <w:tc>
          <w:tcPr>
            <w:tcW w:type="dxa" w:w="5040"/>
          </w:tcPr>
          <w:p>
            <w:r>
              <w:t>72.174%</w:t>
            </w:r>
          </w:p>
        </w:tc>
      </w:tr>
      <w:tr>
        <w:tc>
          <w:tcPr>
            <w:tcW w:type="dxa" w:w="5040"/>
          </w:tcPr>
          <w:p>
            <w:r>
              <w:t>0.3</w:t>
            </w:r>
          </w:p>
        </w:tc>
        <w:tc>
          <w:tcPr>
            <w:tcW w:type="dxa" w:w="5040"/>
          </w:tcPr>
          <w:p>
            <w:r>
              <w:t>74.300%</w:t>
            </w:r>
          </w:p>
        </w:tc>
      </w:tr>
      <w:tr>
        <w:tc>
          <w:tcPr>
            <w:tcW w:type="dxa" w:w="5040"/>
          </w:tcPr>
          <w:p>
            <w:r>
              <w:t>0.5</w:t>
            </w:r>
          </w:p>
        </w:tc>
        <w:tc>
          <w:tcPr>
            <w:tcW w:type="dxa" w:w="5040"/>
          </w:tcPr>
          <w:p>
            <w:r>
              <w:t>72.560%</w:t>
            </w:r>
          </w:p>
        </w:tc>
      </w:tr>
    </w:tbl>
    <w:p>
      <w:r>
        <w:t>Best dropout rate at learning rate 0.001: 0.3.</w:t>
      </w:r>
    </w:p>
    <w:p>
      <w:r>
        <w:drawing>
          <wp:inline xmlns:a="http://schemas.openxmlformats.org/drawingml/2006/main" xmlns:pic="http://schemas.openxmlformats.org/drawingml/2006/picture">
            <wp:extent cx="5669280" cy="2267712"/>
            <wp:docPr id="6" name="Picture 6"/>
            <wp:cNvGraphicFramePr>
              <a:graphicFrameLocks noChangeAspect="1"/>
            </wp:cNvGraphicFramePr>
            <a:graphic>
              <a:graphicData uri="http://schemas.openxmlformats.org/drawingml/2006/picture">
                <pic:pic>
                  <pic:nvPicPr>
                    <pic:cNvPr id="0" name="tuning_curves.png"/>
                    <pic:cNvPicPr/>
                  </pic:nvPicPr>
                  <pic:blipFill>
                    <a:blip r:embed="rId14"/>
                    <a:stretch>
                      <a:fillRect/>
                    </a:stretch>
                  </pic:blipFill>
                  <pic:spPr>
                    <a:xfrm>
                      <a:off x="0" y="0"/>
                      <a:ext cx="5669280" cy="2267712"/>
                    </a:xfrm>
                    <a:prstGeom prst="rect"/>
                  </pic:spPr>
                </pic:pic>
              </a:graphicData>
            </a:graphic>
          </wp:inline>
        </w:drawing>
      </w:r>
    </w:p>
    <w:p>
      <w:r>
        <w:t>Figure 6. Best validation accuracy across the learning rate sweep (left) and the dropout sweep at the best learning rate (right).</w:t>
      </w:r>
    </w:p>
    <w:p>
      <w:r>
        <w:t>The best dropout-sweep run reached 74.300% validation accuracy, which did not exceed the original 75.556% achieved with learning rate 0.001 and dropout 0.3. The learning-rate sweep matched the original score at the same settings; the repeated dropout-sweep run scored lower. The original regularized model was therefore kept as the final model, and its test results above are unchanged.</w:t>
      </w:r>
    </w:p>
    <w:p>
      <w:pPr>
        <w:pStyle w:val="Heading2"/>
      </w:pPr>
      <w:r>
        <w:t>Limitations</w:t>
      </w:r>
    </w:p>
    <w:p>
      <w:r>
        <w:t>The dataset was evaluated with one stratified split and one initial seed. Three-epoch runs and a two-stage search give a useful comparison but do not measure uncertainty across seeds or establish convergence. Batch normalization and dropout were changed together, so their individual effects cannot be inferred. The initial test result was viewed before the tuning sweep; although tuning selected configurations by validation accuracy, a fresh test set would provide a stronger final unbiased estimate. The test set describes performance on this dataset; robustness to new sources, lighting, viewpoints, and class definitions remains unmeasured. Dog recall of 0.171 is a material limitation despite the overall 0.746 accuracy.</w:t>
      </w:r>
    </w:p>
    <w:p>
      <w:pPr>
        <w:pStyle w:val="Heading2"/>
      </w:pPr>
      <w:r>
        <w:t>Potential improvements and future work</w:t>
      </w:r>
    </w:p>
    <w:p>
      <w:r>
        <w:t>Future work could compare larger input sizes, more training epochs with early stopping, class-weighted loss to offset the uneven class counts, additional augmentation such as rotation and cropping, and pretrained feature extractors (transfer learning) rather than a network trained from scratch. Any of these changes would need a new validation comparison and a fresh held-out test set for a fair final estimate. Averaging several random seeds per hyperparameter configuration would also make the tuning comparison more reliable; the repeated three-epoch configuration produced different validation scores.</w:t>
      </w:r>
    </w:p>
    <w:p>
      <w:pPr>
        <w:pStyle w:val="Heading1"/>
      </w:pPr>
      <w:r>
        <w:t>Final Insight and Recommendations</w:t>
      </w:r>
    </w:p>
    <w:p>
      <w:r>
        <w:t>The largest measured change in this comparison came from the combined architecture modification: adding batch normalization and dropout raised best validation accuracy by 20.9 percentage points (from 54.686% to 75.556%), a larger gain than any improvement retained after the learning-rate and dropout search. This comparison does not separate the effects of batch normalization and dropout.</w:t>
      </w:r>
    </w:p>
    <w:p>
      <w:r>
        <w:t>The hyperparameter search did not improve on the original settings (best dropout-sweep run 74.300% versus 75.556% original). Within the values and three-epoch runs tested, no further gain was observed from changing learning rate or dropout alone.</w:t>
      </w:r>
    </w:p>
    <w:p>
      <w:r>
        <w:t>Dog is the model's weakest category (recall 0.171, F1 0.255); the largest confusion errors on the test set were 43 true 'cat' images predicted as 'person'; 40 true 'dog' images predicted as 'person'; 25 true 'dog' images predicted as 'cat'. Recommendation: prioritize more or better-augmented dog training images, or a class-weighted loss, before any further architecture or hyperparameter changes, since that class has the largest single share of the observed test errors.</w:t>
      </w:r>
    </w:p>
    <w:p>
      <w:r>
        <w:t>Recommendation for deployment: the regularized model (test accuracy 74.589%, macro F1 0.712) is the strongest checkpoint measured in this project. These experiments do not establish deployment readiness. The low dog recall calls for targeted error analysis and evaluation on new images before any practical use.</w:t>
      </w:r>
    </w:p>
    <w:p>
      <w:pPr>
        <w:pStyle w:val="Heading1"/>
      </w:pPr>
      <w:r>
        <w:t>Reproducibility and source</w:t>
      </w:r>
    </w:p>
    <w:p>
      <w:r>
        <w:t>Dataset: Prasun Roy, Natural Images, Kaggle, https://www.kaggle.com/datasets/prasunroy/natural-images. The submission notebook Image_Classification_CNN.ipynb contains data loading, both CNNs, training, evaluation, tuning, and visual analysis. Set DEFAULT_DATA to the directory containing the eight class folders, install requirements.txt, and run the notebook in order with 3 epochs per architecture. The stratified split and model initialization use seed 42; augmentation and CPU execution can still yield small differences across reruns. Metrics and figures used in this report are preserved in results/.</w:t>
      </w:r>
    </w:p>
    <w:p>
      <w:pPr>
        <w:pStyle w:val="Heading1"/>
      </w:pPr>
      <w:r>
        <w:t>Conclusion</w:t>
      </w:r>
    </w:p>
    <w:p>
      <w:r>
        <w:t>A reproducible CNN pipeline was implemented for eight-class Natural Images classification. The regularized CNN was selected from a controlled architecture comparison and a follow-up hyperparameter search and achieved 74.589% accuracy and 0.712 macro F1 on 1035 held-out images. The saved metrics, curves, confusion matrix, and model checkpoints support reproduction and further tuning.</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Kabore</dc:creator>
  <cp:keywords/>
  <dc:description>generated by python-docx</dc:description>
  <cp:lastModifiedBy/>
  <cp:revision>1</cp:revision>
  <dcterms:created xsi:type="dcterms:W3CDTF">2013-12-23T23:15:00Z</dcterms:created>
  <dcterms:modified xsi:type="dcterms:W3CDTF">2013-12-23T23:15:00Z</dcterms:modified>
  <cp:category/>
</cp:coreProperties>
</file>