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A API Composition é uma sintaxe alternativa para escrever componentes, totalmente opcional.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Essa é uma comparação entre um arquivo escrito com options API: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681163" cy="1239857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1239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E outro arquivo que faz a mesma coisa, escrito com Composition API: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881188" cy="1776677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776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Uma das razões em se usar o composition API é que ele oferece melhor suporte ao TypeScript. Outra razão é sua melhor organização. Melhor reutilização também.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MIXINS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 REATIVAS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43747" cy="27955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747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FUNÇÃO REATIVA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grande diferença entre a função reativa e a ref() é que a primeira serve para tornar reativos os valores primitivos, como strings, numeros e booleanos. Para objetos, utiliza-se a ref().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A função reativa permite que os valores das propriedades sejam acessados diretamente, no caso das ref() os valores precisam ser acessados via propriedade value.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037522" cy="3887437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7522" cy="3887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WATCHERS AND COMPUTED PROPERTIES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Uma demonstração de seu funcionamento é mostrar ao contrário um valor digitado em um input, utilizando a watchEffect: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118067" cy="4948238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8067" cy="494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LIFECYCLE FUNCTIONS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onBeforeMount()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onMounted()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onBeforeUpdate()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onUpdated()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beforeDestroy()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destroyed()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onActivated()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onDeactivated()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*As funções de beforeCreate() e created() não estão incluídas por que a função setup() roda após o beforeCreate, mas antes do created().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95588" cy="98913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989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PROPS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57488" cy="256367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2563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01660" cy="443388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1660" cy="443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41735" cy="2547938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1735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 REFS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067175" cy="7143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Adicionei um botão e atribuí uma ref a ele.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171950" cy="32289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EMITINDO EVENTOS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Setup() permite um segundo parâmetro além de props, que é o context, e com ele é possível emitir.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ROUTER HOOKS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PINIA HOOKS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VERIFYING REACTIVITY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SETUP ATTRIBUTE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