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</w:rPr>
        <w:t>Dependencia académica y profesionalización en el Sur. Perspectivas desde la periferia</w:t>
      </w:r>
      <w:r>
        <w:rPr>
          <w:color w:val="000000"/>
          <w:sz w:val="24"/>
          <w:szCs w:val="24"/>
        </w:rPr>
        <w:t xml:space="preserve"> (pp.77-88). Mendoza: EDIUNC.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</w:rPr>
        <w:t>. Barcelona: Gedisa.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</w:rPr>
        <w:t xml:space="preserve">Chile en el siglo XX. </w:t>
      </w:r>
      <w:r>
        <w:rPr>
          <w:color w:val="000000"/>
          <w:sz w:val="24"/>
          <w:szCs w:val="24"/>
        </w:rPr>
        <w:t>Santiago: Emisión.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</w:rPr>
        <w:t>. México: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ANSALDI, WALDO y GIORDANO, VERÓNICA (2012a). </w:t>
      </w:r>
      <w:r>
        <w:rPr>
          <w:i/>
          <w:color w:val="000000"/>
          <w:sz w:val="24"/>
          <w:szCs w:val="24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</w:rPr>
        <w:t>. Ariel.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ANSALDI, WALDO y GIORDANO, VERÓNICA (2012b). </w:t>
      </w:r>
      <w:r>
        <w:rPr>
          <w:i/>
          <w:color w:val="000000"/>
          <w:sz w:val="24"/>
          <w:szCs w:val="24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Ariel.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</w:rPr>
        <w:t>Istor</w:t>
      </w:r>
      <w:r>
        <w:rPr>
          <w:color w:val="000000"/>
          <w:sz w:val="24"/>
          <w:szCs w:val="24"/>
        </w:rPr>
        <w:t>, 4(24), 102-121.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</w:rPr>
        <w:t>. Bernal: UNQ.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</w:rPr>
        <w:t>Pensando sociológicamente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71(2), 319-349.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(pp.65-88).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327-370.</w:t>
      </w:r>
    </w:p>
    <w:p>
      <w:pPr>
        <w:pStyle w:val="Normal"/>
        <w:spacing w:before="2" w:after="120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XXI.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9-38.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</w:rPr>
        <w:t xml:space="preserve">. Rumbo Sur. </w:t>
      </w:r>
      <w:hyperlink r:id="rId2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</w:rPr>
        <w:t>, 26, 111-150.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</w:rPr>
        <w:t>Sociohistórica</w:t>
      </w:r>
      <w:r>
        <w:rPr>
          <w:rFonts w:cs="Times New Roman"/>
          <w:sz w:val="24"/>
          <w:szCs w:val="24"/>
        </w:rPr>
        <w:t>, 43 (3), 1-19.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1(2), pp.236-287.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</w:rPr>
        <w:t>Estudios ELACP N°17</w:t>
      </w:r>
      <w:r>
        <w:rPr>
          <w:color w:val="000000"/>
          <w:sz w:val="24"/>
          <w:szCs w:val="24"/>
        </w:rPr>
        <w:t>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pp.395-436.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</w:rPr>
        <w:t>Desarrollo Económico</w:t>
      </w:r>
      <w:r>
        <w:rPr>
          <w:color w:val="000000"/>
          <w:sz w:val="24"/>
          <w:szCs w:val="24"/>
        </w:rPr>
        <w:t>, 12(46), pp.211-243.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</w:rPr>
        <w:t>Foro Internacional</w:t>
      </w:r>
      <w:r>
        <w:rPr>
          <w:color w:val="000000"/>
          <w:sz w:val="24"/>
          <w:szCs w:val="24"/>
        </w:rPr>
        <w:t>, Vol. XVI, 1 (61).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39(2), 481-528.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, Buenos Aires: CLACSO-CCC, 99-135.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. Buenos Aires: CLACSO-CCC, 53-97.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y MASSHOLDER, ALEXIA (2023). </w:t>
      </w:r>
      <w:r>
        <w:rPr>
          <w:i/>
          <w:color w:val="000000"/>
          <w:sz w:val="24"/>
          <w:szCs w:val="24"/>
        </w:rPr>
        <w:t>A contramano. Una biografía dialogada</w:t>
      </w:r>
      <w:r>
        <w:rPr>
          <w:color w:val="000000"/>
          <w:sz w:val="24"/>
          <w:szCs w:val="24"/>
        </w:rPr>
        <w:t>. AKAL.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</w:rPr>
        <w:t>La Nación</w:t>
      </w:r>
      <w:r>
        <w:rPr>
          <w:rFonts w:cs="Times New Roman" w:ascii="Times New Roman" w:hAnsi="Times New Roman"/>
          <w:sz w:val="24"/>
          <w:szCs w:val="24"/>
        </w:rPr>
        <w:t>, 3 de noviembre.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</w:rPr>
        <w:t>. México: Grijalbo.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</w:rPr>
        <w:t>Intelectuales, política y poder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</w:rPr>
        <w:t>El sentido práctico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Siglo XXI.</w:t>
      </w:r>
    </w:p>
    <w:p>
      <w:pPr>
        <w:pStyle w:val="FootnoteText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>(2011)</w:t>
      </w:r>
      <w:r>
        <w:rPr>
          <w:rStyle w:val="Emphasis"/>
          <w:rFonts w:cs="Times New Roman"/>
          <w:sz w:val="24"/>
          <w:szCs w:val="24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</w:rPr>
        <w:t>La ilusión biográfica</w:t>
      </w:r>
      <w:r>
        <w:rPr>
          <w:rFonts w:cs="Times New Roman"/>
          <w:i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Style w:val="Emphasis"/>
          <w:rFonts w:cs="Times New Roman"/>
          <w:sz w:val="24"/>
          <w:szCs w:val="24"/>
        </w:rPr>
        <w:t>Acta Sociológica</w:t>
      </w:r>
      <w:r>
        <w:rPr>
          <w:rFonts w:cs="Times New Roman"/>
          <w:sz w:val="24"/>
          <w:szCs w:val="24"/>
        </w:rPr>
        <w:t>, 56, 121-128.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</w:rPr>
        <w:t>, Buenos Aires: Sudamericana.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</w:rPr>
        <w:t>(pp. 19-48). Buenos Aires: Prometeo.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</w:rPr>
        <w:t>Cuestiones de Sociología</w:t>
      </w:r>
      <w:r>
        <w:rPr>
          <w:rFonts w:cs="Times New Roman" w:ascii="Times New Roman" w:hAnsi="Times New Roman"/>
          <w:sz w:val="24"/>
          <w:szCs w:val="24"/>
        </w:rPr>
        <w:t>, 5-6, 263-292.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lang w:val="en-US"/>
        </w:rPr>
        <w:t>. New York: Harcourt Brace Jovanovich.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highlight w:val="red"/>
          <w:lang w:val="pt-B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lang w:val="pt-BR"/>
        </w:rPr>
        <w:t xml:space="preserve">CLACSO: Córdoba. </w:t>
      </w:r>
      <w:hyperlink r:id="rId3">
        <w:r>
          <w:rPr>
            <w:rStyle w:val="ListLabel74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26</w:t>
      </w:r>
      <w:r>
        <w:rPr>
          <w:rFonts w:eastAsia="Arial" w:cs="Times New Roman" w:ascii="Times New Roman" w:hAnsi="Times New Roman"/>
          <w:sz w:val="24"/>
          <w:szCs w:val="24"/>
        </w:rPr>
        <w:t xml:space="preserve">(76), 9-50. </w:t>
      </w:r>
      <w:hyperlink r:id="rId4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fr-F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(2), 186-214. </w:t>
      </w:r>
      <w:hyperlink r:id="rId5">
        <w:r>
          <w:rPr>
            <w:rStyle w:val="ListLabel75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</w:rPr>
        <w:t>, 4, 129-166.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81, 151-157.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, (2-3), 1-24. </w:t>
      </w:r>
      <w:hyperlink r:id="rId6">
        <w:r>
          <w:rPr>
            <w:rStyle w:val="ListLabel76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/>
        <w:t xml:space="preserve">CHAVES, LINIANA y DAIN, MARIANA (2013). La nacionalización de la universidad y la avanzada cientificista. En GORDILLO, MÓNICA y VALDEMARCA, LAURA (Coords.), </w:t>
      </w:r>
      <w:r>
        <w:rPr>
          <w:i/>
          <w:iCs/>
        </w:rPr>
        <w:t>Facultades de la UNC. 1854-2011. Saberes, procesos políticos e institucionales</w:t>
      </w:r>
      <w:r>
        <w:rPr/>
        <w:t xml:space="preserve"> (pp. 15-31). Córdoba: Universidad Nacional de Córdoba.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-ItalicMT" w:cs="Times New Roman" w:ascii="Times New Roman" w:hAnsi="Times New Roman"/>
          <w:sz w:val="24"/>
          <w:szCs w:val="24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</w:rPr>
        <w:t xml:space="preserve">(pp. </w:t>
      </w:r>
      <w:r>
        <w:rPr>
          <w:rFonts w:cs="Times New Roman" w:ascii="Times New Roman" w:hAnsi="Times New Roman"/>
          <w:sz w:val="24"/>
          <w:szCs w:val="24"/>
        </w:rPr>
        <w:t>33-53). Córdoba: Universidad Nacional de Córdoba,.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</w:rPr>
        <w:t>Torcuato Di Tella y Siam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Lenguaje Claro.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, 1-18. </w:t>
      </w:r>
      <w:hyperlink r:id="rId7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(1987b).</w:t>
      </w:r>
      <w:r>
        <w:rPr>
          <w:rFonts w:cs="Times New Roman" w:ascii="Times New Roman" w:hAnsi="Times New Roman"/>
          <w:sz w:val="24"/>
          <w:szCs w:val="24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(1990)</w:t>
      </w:r>
      <w:r>
        <w:rPr>
          <w:rFonts w:cs="Times New Roman" w:ascii="Times New Roman" w:hAnsi="Times New Roman"/>
          <w:sz w:val="24"/>
          <w:szCs w:val="24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</w:rPr>
        <w:t>La Ciudad Futura</w:t>
      </w:r>
      <w:r>
        <w:rPr>
          <w:rFonts w:cs="Times New Roman" w:ascii="Times New Roman" w:hAnsi="Times New Roman"/>
          <w:sz w:val="24"/>
          <w:szCs w:val="24"/>
        </w:rPr>
        <w:t>, 22, 9-12.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4, 21-22.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5, 7-27.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(2004b).</w:t>
      </w:r>
      <w:r>
        <w:rPr>
          <w:rFonts w:cs="Times New Roman" w:ascii="Times New Roman" w:hAnsi="Times New Roman"/>
          <w:sz w:val="24"/>
          <w:szCs w:val="24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</w:rPr>
        <w:t>(pp.197-220).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</w:rPr>
        <w:t>. Buenos Aires: Alianza.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(pp.7-12). Buenos Aires: Losada.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</w:rPr>
        <w:t>. Buenos Aires: Universidad de Buenos Aires.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73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PÉREZ BRIGNOLI, HÉCTOR (2008). </w:t>
      </w:r>
      <w:r>
        <w:rPr>
          <w:i/>
          <w:color w:val="000000"/>
          <w:sz w:val="24"/>
          <w:szCs w:val="24"/>
        </w:rPr>
        <w:t>Los 50 años de FLACSO y el desarrollo de las Ciencias Sociales en América Latina</w:t>
      </w:r>
      <w:r>
        <w:rPr>
          <w:color w:val="000000"/>
          <w:sz w:val="24"/>
          <w:szCs w:val="24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(1988).</w:t>
      </w:r>
      <w:r>
        <w:rPr>
          <w:rFonts w:cs="Times New Roman" w:ascii="Times New Roman" w:hAnsi="Times New Roman"/>
          <w:sz w:val="24"/>
          <w:szCs w:val="24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</w:rPr>
        <w:t>La sociología contemporánea</w:t>
      </w:r>
      <w:r>
        <w:rPr>
          <w:rFonts w:cs="Times New Roman" w:ascii="Times New Roman" w:hAnsi="Times New Roman"/>
          <w:sz w:val="24"/>
          <w:szCs w:val="24"/>
        </w:rPr>
        <w:t>. Buenos Aires: Arayú.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</w:rPr>
        <w:t>Vingtième Siècle</w:t>
      </w:r>
      <w:r>
        <w:rPr>
          <w:rFonts w:cs="Times New Roman" w:ascii="Times New Roman" w:hAnsi="Times New Roman"/>
          <w:sz w:val="24"/>
          <w:szCs w:val="24"/>
        </w:rPr>
        <w:t>, 56, 161-183.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</w:rPr>
        <w:t xml:space="preserve"> (pp.89-101). Buenos Aires: Biblos.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</w:rPr>
        <w:t>. Buenos Aires: Universidad Nacional de San Martín (inédito).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La Plata: Al Margen.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(2004).</w:t>
      </w:r>
      <w:r>
        <w:rPr>
          <w:rFonts w:cs="Times New Roman" w:ascii="Times New Roman" w:hAnsi="Times New Roman"/>
          <w:sz w:val="24"/>
          <w:szCs w:val="24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</w:rPr>
        <w:t>(pp. 83-109). Buenos Aires: El Mate.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Universidad Torcuato Di Tella (inédito).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lang w:val="en-US"/>
        </w:rPr>
        <w:t>. London: Sage.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internacionalización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Eduvim.</w:t>
      </w:r>
    </w:p>
    <w:p>
      <w:pPr>
        <w:pStyle w:val="Normal"/>
        <w:ind w:start="0"/>
        <w:rPr>
          <w:rFonts w:ascii="Times New Roman" w:hAnsi="Times New Roman" w:eastAsia="Calibri" w:cs="Times New Roman"/>
          <w:sz w:val="24"/>
          <w:szCs w:val="24"/>
          <w:lang w:eastAsia="es-ES"/>
        </w:rPr>
      </w:pPr>
      <w:r>
        <w:rPr>
          <w:rFonts w:eastAsia="Calibri" w:cs="Times New Roman" w:ascii="Times New Roman" w:hAnsi="Times New Roman"/>
          <w:sz w:val="24"/>
          <w:szCs w:val="24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/>
          <w:i/>
          <w:sz w:val="24"/>
          <w:szCs w:val="24"/>
          <w:lang w:eastAsia="es-ES"/>
        </w:rPr>
        <w:t>La batalla de las ideas (1943-1973)</w:t>
      </w:r>
      <w:r>
        <w:rPr>
          <w:rFonts w:eastAsia="Calibri" w:cs="Times New Roman" w:ascii="Times New Roman" w:hAnsi="Times New Roman"/>
          <w:sz w:val="24"/>
          <w:szCs w:val="24"/>
          <w:lang w:eastAsia="es-ES"/>
        </w:rPr>
        <w:t>. Buenos Aires: Emecé.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</w:rPr>
        <w:t xml:space="preserve">. Madrid: Alianza.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</w:rPr>
        <w:t>. Madrid: Seminarios y Ediciones.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</w:rPr>
        <w:t>. Buenos Aires: Tres Tiempos.</w:t>
      </w:r>
    </w:p>
    <w:p>
      <w:pPr>
        <w:pStyle w:val="Normal"/>
        <w:ind w:start="0"/>
        <w:rPr>
          <w:rFonts w:ascii="Times New Roman" w:hAnsi="Times New Roman" w:eastAsia="AbrilFatface-Regular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</w:rPr>
        <w:t>Cuadernos Hispanoamericanos</w:t>
      </w:r>
      <w:r>
        <w:rPr>
          <w:rFonts w:cs="Times New Roman" w:ascii="Times New Roman" w:hAnsi="Times New Roman"/>
          <w:sz w:val="24"/>
          <w:szCs w:val="24"/>
        </w:rPr>
        <w:t>, 517-519, 65-76.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37, 131-157.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TORRADO, SUSANA y</w:t>
      </w:r>
      <w:r>
        <w:rPr>
          <w:rFonts w:cs="Times New Roman" w:ascii="Times New Roman" w:hAnsi="Times New Roman"/>
          <w:sz w:val="24"/>
          <w:szCs w:val="24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</w:rPr>
        <w:t>. (4 vols.).  Santiago: PROELCE - CELADE.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TOURAINE, ALAIN (1974). </w:t>
      </w:r>
      <w:r>
        <w:rPr>
          <w:i/>
          <w:color w:val="000000"/>
          <w:sz w:val="24"/>
          <w:szCs w:val="24"/>
        </w:rPr>
        <w:t>Vida y muerte del Chile popular</w:t>
      </w:r>
      <w:r>
        <w:rPr>
          <w:color w:val="000000"/>
          <w:sz w:val="24"/>
          <w:szCs w:val="24"/>
        </w:rPr>
        <w:t>. México: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VASCONI, TOMÁS (1995). </w:t>
      </w:r>
      <w:r>
        <w:rPr>
          <w:i/>
          <w:color w:val="000000"/>
          <w:sz w:val="24"/>
          <w:szCs w:val="24"/>
        </w:rPr>
        <w:t>Las ciencias sociales en América del sur y Chile, 1960-1990</w:t>
      </w:r>
      <w:r>
        <w:rPr>
          <w:color w:val="000000"/>
          <w:sz w:val="24"/>
          <w:szCs w:val="24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Tiempo Contemporáneo.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</w:rPr>
        <w:t>De prácticas y discursos</w:t>
      </w:r>
      <w:r>
        <w:rPr>
          <w:color w:val="000000"/>
          <w:sz w:val="24"/>
          <w:szCs w:val="24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</w:rPr>
          <w:t>https://doi.org/10.30972/dpd.12196685</w:t>
        </w:r>
      </w:hyperlink>
      <w:r>
        <w:rPr>
          <w:rStyle w:val="value"/>
          <w:sz w:val="24"/>
          <w:szCs w:val="24"/>
        </w:rPr>
        <w:t xml:space="preserve"> 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</w:rPr>
        <w:t>La imaginación sociológica</w:t>
      </w:r>
      <w:r>
        <w:rPr>
          <w:rFonts w:cs="Times New Roman" w:ascii="Times New Roman" w:hAnsi="Times New Roman"/>
          <w:sz w:val="24"/>
          <w:szCs w:val="24"/>
        </w:rPr>
        <w:t>. México: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>ZANCA, JOSÉ (2006).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Los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</w:rPr>
        <w:t>intelectuales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católicos y el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</w:rPr>
        <w:t>, 1955-1966</w:t>
      </w:r>
      <w:r>
        <w:rPr>
          <w:rFonts w:cs="Times New Roman" w:ascii="Times New Roman" w:hAnsi="Times New Roman"/>
          <w:sz w:val="24"/>
          <w:szCs w:val="24"/>
        </w:rPr>
        <w:t>. Buenos Aires: Universidad de San Andrés/FCE.</w:t>
      </w:r>
    </w:p>
    <w:p>
      <w:pPr>
        <w:pStyle w:val="Normal"/>
        <w:spacing w:before="240" w:after="120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uppressLineNumbers/>
      <w:suppressAutoHyphens w:val="true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/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AR" w:val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eastAsia="" w:eastAsiaTheme="minorEastAsia" w:ascii="Calibri" w:hAnsi="Calibri" w:cs="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bidi w:val="0"/>
      <w:spacing w:lineRule="auto" w:line="240" w:before="240" w:after="0"/>
      <w:ind w:start="720"/>
      <w:jc w:val="both"/>
    </w:pPr>
    <w:rPr>
      <w:rFonts w:ascii="Arial" w:hAnsi="Arial" w:cs="Arial" w:eastAsia="Calibri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eastAsia="es-AR" w:val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LibreOffice/24.2.7.2$Linux_X86_64 LibreOffice_project/420$Build-2</Application>
  <AppVersion>15.0000</AppVersion>
  <Pages>23</Pages>
  <Words>4899</Words>
  <Characters>31429</Characters>
  <CharactersWithSpaces>36111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2025-09-09T17:39:47Z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