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327-370.</w:t>
      </w:r>
    </w:p>
    <w:p>
      <w:pPr>
        <w:pStyle w:val="Normal"/>
        <w:spacing w:before="2" w:after="120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XXI.</w:t>
      </w:r>
    </w:p>
    <w:p>
      <w:pPr>
        <w:pStyle w:val="Normal"/>
        <w:ind w:start="0" w:end="23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Latinoamericanos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9-38.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26, 111-150.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z w:val="24"/>
          <w:szCs w:val="24"/>
          <w:shd w:fill="FFFF00" w:val="clear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  <w:shd w:fill="FFFF00" w:val="clear"/>
        </w:rPr>
        <w:t>Sociohistórica</w:t>
      </w:r>
      <w:r>
        <w:rPr>
          <w:rFonts w:cs="Times New Roman"/>
          <w:sz w:val="24"/>
          <w:szCs w:val="24"/>
          <w:shd w:fill="FFFF00" w:val="clear"/>
        </w:rPr>
        <w:t>, 43 (3), 1-19.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1(2), pp.236-287.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  <w:shd w:fill="FFFF00" w:val="clear"/>
        </w:rPr>
        <w:t>Estudios ELACP N°17</w:t>
      </w:r>
      <w:r>
        <w:rPr>
          <w:color w:val="000000"/>
          <w:sz w:val="24"/>
          <w:szCs w:val="24"/>
          <w:shd w:fill="FFFF00" w:val="clear"/>
        </w:rPr>
        <w:t>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2(3), pp.395-436.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  <w:shd w:fill="FFFF00" w:val="clear"/>
        </w:rPr>
        <w:t>Desarrollo Económico</w:t>
      </w:r>
      <w:r>
        <w:rPr>
          <w:color w:val="000000"/>
          <w:sz w:val="24"/>
          <w:szCs w:val="24"/>
          <w:shd w:fill="FFFF00" w:val="clear"/>
        </w:rPr>
        <w:t>, 12(46), pp.211-243.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  <w:shd w:fill="FFFF00" w:val="clear"/>
        </w:rPr>
        <w:t>Foro Internacional</w:t>
      </w:r>
      <w:r>
        <w:rPr>
          <w:color w:val="000000"/>
          <w:sz w:val="24"/>
          <w:szCs w:val="24"/>
          <w:shd w:fill="FFFF00" w:val="clear"/>
        </w:rPr>
        <w:t>, Vol. XVI, 1 (61).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39(2), 481-528.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, Buenos Aires: CLACSO-CCC, 99-135.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Grijalbo.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Intelectuales, política y poder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sentido práctico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Siglo XXI.</w:t>
      </w:r>
    </w:p>
    <w:p>
      <w:pPr>
        <w:pStyle w:val="FootnoteText"/>
        <w:spacing w:lineRule="auto" w:line="360"/>
        <w:rPr/>
      </w:pPr>
      <w:r>
        <w:rPr>
          <w:rFonts w:cs="Times New Roman"/>
          <w:sz w:val="24"/>
          <w:szCs w:val="24"/>
          <w:shd w:fill="FFFF00" w:val="clear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>(2011)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</w:rPr>
        <w:t>La ilusión biográfica</w:t>
      </w:r>
      <w:r>
        <w:rPr>
          <w:rFonts w:cs="Times New Roman"/>
          <w:i/>
          <w:sz w:val="24"/>
          <w:szCs w:val="24"/>
          <w:shd w:fill="FFFF00" w:val="clear"/>
        </w:rPr>
        <w:t>.</w:t>
      </w:r>
      <w:r>
        <w:rPr>
          <w:rFonts w:cs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/>
          <w:sz w:val="24"/>
          <w:szCs w:val="24"/>
          <w:shd w:fill="FFFF00" w:val="clear"/>
        </w:rPr>
        <w:t>Acta Sociológica</w:t>
      </w:r>
      <w:r>
        <w:rPr>
          <w:rFonts w:cs="Times New Roman"/>
          <w:sz w:val="24"/>
          <w:szCs w:val="24"/>
          <w:shd w:fill="FFFF00" w:val="clear"/>
        </w:rPr>
        <w:t>, 56, 121-128.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Buenos Aires: Sudamericana.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19-48). Buenos Aires: Prometeo.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Cuestiones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5-6, 263-292.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26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CHAVES, LINIANA y DAIN, MARIANA (2013). La nacionalización de la universidad y la avanzada cientificista. En GORDILLO, MÓNICA y VALDEMARCA, LAURA (Coords.),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hd w:fill="FFFF00" w:val="clear"/>
        </w:rPr>
        <w:t>Facultades de la UNC. 1854-2011. Saberes, procesos políticos e institucionales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 (pp. 15-31). Córdoba: Universidad Nacional de Córdoba.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ItalicMT" w:cs="Times New Roman" w:ascii="Times New Roman" w:hAnsi="Times New Roman"/>
          <w:sz w:val="24"/>
          <w:szCs w:val="24"/>
          <w:shd w:fill="FFFF00" w:val="clear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</w:rPr>
        <w:t xml:space="preserve">(pp.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33-53). Córdoba: Universidad Nacional de Córdoba,.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 y Siam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Buenos Aires: Lenguaje Claro.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(1987b).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Ciudad Futura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22, 9-12.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4, 21-22.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5, 7-27.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(pp.371-416). Buenos Aires, Norma. 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(2004a)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(2005b).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(pp.197-220). Buenos Aires: Siglo XXI.</w:t>
      </w:r>
    </w:p>
    <w:p>
      <w:pPr>
        <w:pStyle w:val="Normal"/>
        <w:spacing w:beforeAutospacing="1" w:afterAutospacing="1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color w:val="C9211E"/>
          <w:sz w:val="24"/>
          <w:szCs w:val="24"/>
          <w:shd w:fill="FFFF00" w:val="clear"/>
        </w:rPr>
        <w:t xml:space="preserve">Las reglas del método sociológico </w:t>
      </w: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>(pp. 9-16). Buenos Aires: Gorla.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(84-111). San José: EUNED. </w:t>
      </w:r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  <w:shd w:fill="FFFF00" w:val="clear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>. Buenos Aires: El Cid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DE RIZ, LILIANA (1979). </w:t>
      </w:r>
      <w:r>
        <w:rPr>
          <w:i/>
          <w:color w:val="000000"/>
          <w:sz w:val="24"/>
          <w:szCs w:val="24"/>
          <w:shd w:fill="FFFF00" w:val="clear"/>
        </w:rPr>
        <w:t>Sociedad y política en Chile: de Portales a Pinochet</w:t>
      </w:r>
      <w:r>
        <w:rPr>
          <w:color w:val="000000"/>
          <w:sz w:val="24"/>
          <w:szCs w:val="24"/>
          <w:shd w:fill="FFFF00" w:val="clear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  <w:shd w:fill="FFFF00" w:val="clear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Miño y Dávila.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Ediciones UNL. 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Ferreyra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FICCARDI, ANA (2013). </w:t>
      </w:r>
      <w:r>
        <w:rPr>
          <w:i/>
          <w:color w:val="000000"/>
          <w:sz w:val="24"/>
          <w:szCs w:val="24"/>
          <w:shd w:fill="FFFF00" w:val="clear"/>
        </w:rPr>
        <w:t>Transmisión y oficio de la sociología en Mendoza: formación del campo profesional</w:t>
      </w:r>
      <w:r>
        <w:rPr>
          <w:color w:val="000000"/>
          <w:sz w:val="24"/>
          <w:szCs w:val="24"/>
          <w:shd w:fill="FFFF00" w:val="clear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. Mendoza: Universidad Nacional de Cuyo (inédita).</w:t>
      </w:r>
    </w:p>
    <w:p>
      <w:pPr>
        <w:pStyle w:val="Normal"/>
        <w:ind w:start="0"/>
        <w:rPr>
          <w:rFonts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color w:val="C9211E"/>
          <w:sz w:val="24"/>
          <w:szCs w:val="24"/>
          <w:shd w:fill="FFFF00" w:val="clear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>. La Plata: Al Margen.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(2 Tomos). Buenos Aires: Centro Editor de América Latina.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Amsterdam: Elsevier.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FRANCO, ROLANDO (2007). </w:t>
      </w:r>
      <w:r>
        <w:rPr>
          <w:i/>
          <w:color w:val="000000"/>
          <w:sz w:val="24"/>
          <w:szCs w:val="24"/>
          <w:shd w:fill="FFFF00" w:val="clear"/>
        </w:rPr>
        <w:t>La FLACSO clásica (1957-1973). Vicisitudes de las Ciencias Sociales latinoamericanas</w:t>
      </w:r>
      <w:r>
        <w:rPr>
          <w:color w:val="000000"/>
          <w:sz w:val="24"/>
          <w:szCs w:val="24"/>
          <w:shd w:fill="FFFF00" w:val="clear"/>
        </w:rPr>
        <w:t>. Santiago: Catalonia.</w:t>
      </w:r>
    </w:p>
    <w:p>
      <w:pPr>
        <w:pStyle w:val="BodyText"/>
        <w:spacing w:lineRule="auto" w:line="360"/>
        <w:ind w:start="0"/>
        <w:rPr>
          <w:highlight w:val="none"/>
          <w:shd w:fill="FFFF00" w:val="clear"/>
        </w:rPr>
      </w:pPr>
      <w:r>
        <w:rPr>
          <w:rFonts w:cs="Times New Roman"/>
          <w:color w:val="000009"/>
          <w:shd w:fill="FFFF00" w:val="clear"/>
        </w:rPr>
        <w:t>FUCITO,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FELIPE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(2004).</w:t>
      </w:r>
      <w:r>
        <w:rPr>
          <w:rFonts w:cs="Times New Roman"/>
          <w:color w:val="000009"/>
          <w:spacing w:val="2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In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memoriam.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Homenaje:</w:t>
      </w:r>
      <w:r>
        <w:rPr>
          <w:rFonts w:cs="Times New Roman"/>
          <w:color w:val="000009"/>
          <w:spacing w:val="3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entrevista</w:t>
      </w:r>
      <w:r>
        <w:rPr>
          <w:rFonts w:cs="Times New Roman"/>
          <w:color w:val="000009"/>
          <w:spacing w:val="31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Juan</w:t>
      </w:r>
      <w:r>
        <w:rPr>
          <w:rFonts w:cs="Times New Roman"/>
          <w:color w:val="000009"/>
          <w:spacing w:val="25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Carlos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Agulla.</w:t>
      </w:r>
      <w:r>
        <w:rPr>
          <w:rFonts w:cs="Times New Roman"/>
          <w:color w:val="000009"/>
          <w:spacing w:val="39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Lecciones</w:t>
      </w:r>
      <w:r>
        <w:rPr>
          <w:rFonts w:cs="Times New Roman"/>
          <w:i/>
          <w:color w:val="000009"/>
          <w:spacing w:val="-8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y</w:t>
      </w:r>
      <w:r>
        <w:rPr>
          <w:rFonts w:cs="Times New Roman"/>
          <w:i/>
          <w:color w:val="000009"/>
          <w:spacing w:val="-1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Ensayos</w:t>
      </w:r>
      <w:r>
        <w:rPr>
          <w:rFonts w:cs="Times New Roman"/>
          <w:color w:val="000009"/>
          <w:shd w:fill="FFFF00" w:val="clear"/>
        </w:rPr>
        <w:t>,</w:t>
      </w:r>
      <w:r>
        <w:rPr>
          <w:rFonts w:cs="Times New Roman"/>
          <w:color w:val="000009"/>
          <w:spacing w:val="2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79,</w:t>
      </w:r>
      <w:r>
        <w:rPr>
          <w:rFonts w:cs="Times New Roman"/>
          <w:color w:val="000009"/>
          <w:spacing w:val="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269-310.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GARCÉS, JOAN (2013). </w:t>
      </w:r>
      <w:r>
        <w:rPr>
          <w:i/>
          <w:color w:val="000000"/>
          <w:sz w:val="24"/>
          <w:szCs w:val="24"/>
          <w:shd w:fill="FFFF00" w:val="clear"/>
        </w:rPr>
        <w:t>Allende y la experiencia chilena. Las armas de la política</w:t>
      </w:r>
      <w:r>
        <w:rPr>
          <w:color w:val="000000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9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Alianza.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(pp.7-12). Buenos Aires: Losada.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Buenos Aires.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9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9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PÉREZ BRIGNOLI, HÉCTOR (2008). </w:t>
      </w:r>
      <w:r>
        <w:rPr>
          <w:i/>
          <w:color w:val="000000"/>
          <w:sz w:val="24"/>
          <w:szCs w:val="24"/>
          <w:shd w:fill="FFFF00" w:val="clear"/>
        </w:rPr>
        <w:t>Los 50 años de FLACSO y el desarrollo de las Ciencias Sociales en América Latina</w:t>
      </w:r>
      <w:r>
        <w:rPr>
          <w:color w:val="000000"/>
          <w:sz w:val="24"/>
          <w:szCs w:val="24"/>
          <w:shd w:fill="FFFF00" w:val="clear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(1988).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2025-09-17T18:24:35Z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