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both"/>
        <w:rPr>
          <w:rFonts w:ascii="Times New Roman" w:hAnsi="Times New Roman" w:eastAsia="Times New Roman" w:cs="Times New Roman"/>
          <w:sz w:val="24"/>
          <w:szCs w:val="24"/>
          <w:lang w:val="es-AR"/>
        </w:rPr>
      </w:pPr>
      <w:r>
        <w:rPr>
          <w:rFonts w:eastAsia="Times New Roman" w:cs="Times New Roman" w:ascii="Times New Roman" w:hAnsi="Times New Roman"/>
          <w:b/>
          <w:bCs/>
          <w:color w:val="000000"/>
          <w:sz w:val="24"/>
          <w:szCs w:val="24"/>
          <w:lang w:val="es-AR"/>
        </w:rPr>
        <w:t>Coda</w:t>
      </w:r>
    </w:p>
    <w:p>
      <w:pPr>
        <w:pStyle w:val="Normal"/>
        <w:spacing w:lineRule="auto" w:line="360"/>
        <w:rPr>
          <w:rFonts w:ascii="Times New Roman" w:hAnsi="Times New Roman" w:eastAsia="Times New Roman" w:cs="Times New Roman"/>
          <w:sz w:val="24"/>
          <w:szCs w:val="24"/>
          <w:lang w:val="es-AR"/>
        </w:rPr>
      </w:pPr>
      <w:r>
        <w:rPr>
          <w:rFonts w:eastAsia="Times New Roman" w:cs="Times New Roman" w:ascii="Times New Roman" w:hAnsi="Times New Roman"/>
          <w:sz w:val="24"/>
          <w:szCs w:val="24"/>
          <w:lang w:val="es-AR"/>
        </w:rPr>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 xml:space="preserve">Narrar la pandemia en primera persona es a la vez un desafío y una convicción. El desafío de documentar, organizar y relatar las experiencias de diferentes sujetos durante un período excepcional de encierro y restricciones. La presentación de historias singulares en cada uno de los capítulos en relación con su configuración familiar, con su situación de empleo, con su generación y con sus prácticas culturales (incluyendo en un lugar central el uso de tecnologías), nos permitió poner a prueba la hipótesis inicial de este libro. La pandemia fue experimentada de manera desigual según las condiciones habitacionales, laborales, económicas, el momento biográfico y los vínculos que intervinieron en la construcción de nuevas rutinas, intercambios y posibilidades. Esas desigualdades han quedado plasmadas en las historias, los recuerdos y los contrastes que se pueden tejer entre los relatos que componen este libro. Dijimos al comienzo que estas desigualdades no aparecieron con la pandemia sino que eran preexistentes y se profundizaron durante ese tiempo diferente y excepcional sin escuela, sin relevos, sin </w:t>
      </w:r>
      <w:r>
        <w:rPr>
          <w:rFonts w:eastAsia="Times New Roman" w:cs="Times New Roman" w:ascii="Times New Roman" w:hAnsi="Times New Roman"/>
          <w:i/>
          <w:iCs/>
          <w:color w:val="000000"/>
          <w:sz w:val="24"/>
          <w:szCs w:val="24"/>
          <w:lang w:val="es-AR"/>
        </w:rPr>
        <w:t>changas</w:t>
      </w:r>
      <w:r>
        <w:rPr>
          <w:rFonts w:eastAsia="Times New Roman" w:cs="Times New Roman" w:ascii="Times New Roman" w:hAnsi="Times New Roman"/>
          <w:color w:val="000000"/>
          <w:sz w:val="24"/>
          <w:szCs w:val="24"/>
          <w:lang w:val="es-AR"/>
        </w:rPr>
        <w:t xml:space="preserve"> y con menos recursos para los sectores más vulnerables de la sociedad.</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Dijimos también que narrar la pandemia desde una perspectiva biográfica y subjetiva constituía también una convicción. En este sentido, identificamos dos procesos contradictorios en la elaboración simbólica y el procesamiento social de lo vivido. Por un lado, un rechazo a volver sobre lo ocurrido, una supresión de la memoria y la necesidad de seguir adelante, de retomar lo más pronto posible una vida parecida a la anterior a la pandemia. Las formas de trabajo, la educación, la sociabilidad y las rutinas cotidianas se restablecieron con pocos cambios. Si el aislamiento supuso para muchos núcleos familiares una readaptación de la distribución de tareas, la apertura de todas las actividades pareció implicar un “borrón y cuenta nueva” en términos de la vuelta a un estatus previo, con la menor cantidad de huellas de la pandemia en sus tramas constitutivas. </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Asociamos esta obturación a una observación que hemos escuchado en reiteradas oportunidades en estos años: la pandemia como problema o como tema de reflexión produjo fascinación durante un tiempo y luego un rechazo sintomático en los círculos intelectuales, mediáticos y académicos. Es necesario pensar dos veces cómo titular un artículo, una intervención pública o una conferencia para evitar reacciones del tipo “uy, no, si es de la pandemia es un bajón… paso”. De eso mejor no hablar, no profundizar, no escribir, mejor no hacer nada.</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Por otro lado, encontramos una gran necesidad personal de hablar, contar, recordar y de elaborar lo vivido. Poner en palabras la experiencia fue para todos los informantes un ejercicio valioso de reflexión y de rememoración que era necesario pero, también, doloroso. Y que pudo hacerse en privado, de manera presencial o virtual pero en una escena uno a uno con un entrevistador en un espacio seguro y a resguardo de opiniones y miradas de terceros. La anonimización de las experiencias y testimonios, más allá de constituir una indispensable parte de la salvaguarda ética de la investigación, permitió mucha libertad en lo dicho y compartido en las entrevistas. </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En muchas de ellas hubo emoción, lágrimas y conmoción también por parte de los y las entrevistados y entrevistadores que, mientras escuchábamos, recordábamos escenas de nuestra propia experiencia de encierro. La enorme cantidad de entrevistas en las que escuchamos padecimientos de salud mental como ataques de pánico, ansiedad y angustias nos permitieron dimensionar las huellas que dejó impresa en las subjetividades la experiencia pandémica. Podemos intentar seguir adelante pero, cuando se abre una puerta de diálogo, la predisposición para hablar, recordar y organizar lo vivido se desplegaba sin prisa pero sin pausa. De allí que las entrevistas siempre duraron más tiempo del previsto en el diseño de la investigación. Los entrevistados tenían mucho para decir, mucho para pensar, mucho para compartir. Y el tiempo, en ese momento, parecía suspenderse en pos de ese poner en palabras, de esa escucha, de ese intercambio entre dos desconocidos en el que uno le compartía una experiencia inolvidable y vital al otro.</w:t>
      </w:r>
    </w:p>
    <w:p>
      <w:pPr>
        <w:pStyle w:val="Normal"/>
        <w:spacing w:lineRule="auto" w:line="360"/>
        <w:rPr>
          <w:rFonts w:ascii="Times New Roman" w:hAnsi="Times New Roman" w:eastAsia="Times New Roman" w:cs="Times New Roman"/>
          <w:sz w:val="24"/>
          <w:szCs w:val="24"/>
          <w:lang w:val="es-AR"/>
        </w:rPr>
      </w:pPr>
      <w:r>
        <w:rPr>
          <w:rFonts w:eastAsia="Times New Roman" w:cs="Times New Roman" w:ascii="Times New Roman" w:hAnsi="Times New Roman"/>
          <w:sz w:val="24"/>
          <w:szCs w:val="24"/>
          <w:lang w:val="es-AR"/>
        </w:rPr>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Estos dos procesos contradictorios y complementarios componen nuestra convicción: la necesidad de documentar, de registrar y de analizar un momento social sin precedentes para entender, en y desde el presente, sus huellas, sus marcas y sus transformaciones. El registro de la cotidianidad, de sus minucias, de sus pequeñas adaptaciones e intercambios es lo primero que se pierde al retomar la vida previa a la pandemia. Los olvidos, desplazamientos y minimizaciones son, claro está, mecanismos de defensa frente a un hecho traumático. Expresiones como «no fue para tanto» y «nos adaptamos» conviven con «fue muy difícil», «tuvimos mucho miedo» y son atravesadas por el «ya pasó». Y olvidamos lo pequeño porque fue precisamente en esos ajustes en donde más esfuerzo hubo que poner, en donde las adaptaciones, los deseos, las preocupaciones y las angustias se jugaban día a día. Desempleo, decrecimiento de ingresos, aislamiento y soledad, multiplicación de horas de trabajo, silencios, miedo de salir y de volver componían un panorama desolador. Pero cada una de las pequeñas acciones que cada grupo familiar ejecutó para su supervivencia material, vincular y emocional implicó un esfuerzo, un ajuste, un sacrificio que puso en primer plano una necesidad de sortear la crisis.</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Hoy, mientras cerramos el recorrido de este libro, no solo rememoramos las decisiones metodológicas, las dudas conceptuales, las dimensiones de análisis y las mejoras posibles a cada uno de los textos que componen este camino sino que revivimos, en cada una de las historias, un tiempo que ya nos queda lejos, que ya percibimos como extraño pero que constituyó una bisagra en la experiencia social individual y compartida. La convicción que nos sostiene, más de cinco años después, es la de no olvidar, la de no soltar, la de no dejar de analizar qué implicancias tuvo la experiencia pandémica en la vida de los sujetos sociales y en la cristalización y profundización de las desigualdades. </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Hemos escrito, leído y reseñado textos en este libro que afirman (y coincidimos) que la experiencia permitió visibilizar las rupturas de la estructura social en términos de reproducción de desigualdades de clase, educativas y habitacionales. Las experiencias más cómodas del encierro fueron las de las clases medias altas pero las consecuencias y sus secuelas en el tejido social no responden solo a clases ni a materialidades. Narrar la pandemia en primera persona implica directamente jerarquizar las voces, los cuerpos, los vínculos, las pérdidas y los esfuerzos que el aislamiento y el miedo a un virus letal (sin vacuna ni cura al comienzo) exigió a diferentes personas con historias y trayectorias diversas. El enfoque biográfico fue para nosotros la herramienta privilegiada para la narración de la experiencia, de la propia vida y de los recuerdos. Pasar la página no era una opción frente a lo escuchado, conversado, analizado y sistematizado. </w:t>
      </w:r>
    </w:p>
    <w:p>
      <w:pPr>
        <w:pStyle w:val="Normal"/>
        <w:spacing w:lineRule="auto" w:line="360"/>
        <w:ind w:firstLine="720"/>
        <w:jc w:val="both"/>
        <w:rPr>
          <w:rFonts w:ascii="Times New Roman" w:hAnsi="Times New Roman" w:eastAsia="Times New Roman" w:cs="Times New Roman"/>
          <w:sz w:val="24"/>
          <w:szCs w:val="24"/>
          <w:lang w:val="es-AR"/>
        </w:rPr>
      </w:pPr>
      <w:r>
        <w:rPr>
          <w:rFonts w:eastAsia="Times New Roman" w:cs="Times New Roman" w:ascii="Times New Roman" w:hAnsi="Times New Roman"/>
          <w:color w:val="000000"/>
          <w:sz w:val="24"/>
          <w:szCs w:val="24"/>
          <w:lang w:val="es-AR"/>
        </w:rPr>
        <w:t xml:space="preserve">Y es aquí donde cerramos este recorrido. En la puesta en sentido de la palabra de los demás, en los análisis posibles y en la mirada sobre un pasado reciente que todos queremos soltar pero que se hace presente en cada anécdota, recuerdo y archivo de fotos que los celulares diariamente traen al presente. Los compilados de las aplicaciones «hace 5 años» nos muestran con barbijo, con alcohol y con distancia social. Un pasado que a veces percibimos casi como distópico pero del que tenemos que apropiarnos para poder procesar y analizar. Deseamos que la lectura de este libro haya permitido conocer, recorrer y empatizar con distintos perfiles, grupos y subgrupos en su experiencia pandémica y que eso habilite, al menos por un rato, un momento de reflexión sobre la pandemia, sobre lo vivido y su imborrable huella en nuestras biografías. </w:t>
      </w:r>
    </w:p>
    <w:p>
      <w:pPr>
        <w:pStyle w:val="Cuerpo"/>
        <w:spacing w:lineRule="auto" w:line="360"/>
        <w:ind w:firstLine="720"/>
        <w:jc w:val="both"/>
        <w:rPr/>
      </w:pPr>
      <w:r>
        <w:rPr/>
      </w:r>
    </w:p>
    <w:p>
      <w:pPr>
        <w:pStyle w:val="Cuerpo"/>
        <w:spacing w:lineRule="auto" w:line="360"/>
        <w:ind w:firstLine="720"/>
        <w:jc w:val="both"/>
        <w:rPr/>
      </w:pPr>
      <w:r>
        <w:rPr/>
      </w:r>
    </w:p>
    <w:p>
      <w:pPr>
        <w:pStyle w:val="Normal"/>
        <w:spacing w:lineRule="auto" w:line="360"/>
        <w:rPr>
          <w:rFonts w:ascii="Times New Roman" w:hAnsi="Times New Roman" w:cs="Times New Roman"/>
          <w:sz w:val="24"/>
          <w:szCs w:val="24"/>
          <w:lang w:val="es-AR"/>
        </w:rPr>
      </w:pPr>
      <w:r>
        <w:rPr>
          <w:rFonts w:cs="Times New Roman" w:ascii="Times New Roman" w:hAnsi="Times New Roman"/>
          <w:sz w:val="24"/>
          <w:szCs w:val="24"/>
          <w:lang w:val="es-A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Cambria">
    <w:charset w:val="01" w:characterSet="utf-8"/>
    <w:family w:val="roman"/>
    <w:pitch w:val="variable"/>
  </w:font>
  <w:font w:name="Consolas">
    <w:charset w:val="01" w:characterSet="utf-8"/>
    <w:family w:val="roman"/>
    <w:pitch w:val="variable"/>
  </w:font>
  <w:font w:name="Tahoma">
    <w:charset w:val="01" w:characterSet="utf-8"/>
    <w:family w:val="roman"/>
    <w:pitch w:val="variable"/>
  </w:font>
  <w:font w:name="Liberation Sans">
    <w:altName w:val="Arial"/>
    <w:charset w:val="01" w:characterSet="utf-8"/>
    <w:family w:val="swiss"/>
    <w:pitch w:val="variable"/>
  </w:font>
  <w:font w:name="Helvetica Neue">
    <w:charset w:val="01" w:characterSet="utf-8"/>
    <w:family w:val="roman"/>
    <w:pitch w:val="variable"/>
  </w:font>
  <w:font w:name="Times New Roman">
    <w:charset w:val="01" w:characterSet="utf-8"/>
    <w:family w:val="roman"/>
    <w:pitch w:val="variable"/>
  </w:font>
  <w:font w:name="Book Antiqua">
    <w:charset w:val="01" w:characterSet="utf-8"/>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A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c0ed3"/>
    <w:pPr>
      <w:widowControl/>
      <w:bidi w:val="0"/>
      <w:spacing w:lineRule="auto" w:line="276" w:before="0" w:after="0"/>
      <w:jc w:val="start"/>
    </w:pPr>
    <w:rPr>
      <w:rFonts w:ascii="Arial" w:hAnsi="Arial" w:eastAsia="Arial" w:cs="Arial"/>
      <w:color w:val="auto"/>
      <w:kern w:val="0"/>
      <w:sz w:val="22"/>
      <w:szCs w:val="22"/>
      <w:lang w:val="es-ES" w:eastAsia="es-AR" w:bidi="ar-SA"/>
    </w:rPr>
  </w:style>
  <w:style w:type="paragraph" w:styleId="Heading1">
    <w:name w:val="Heading 1"/>
    <w:basedOn w:val="Normal"/>
    <w:next w:val="Normal"/>
    <w:uiPriority w:val="9"/>
    <w:qFormat/>
    <w:rsid w:val="003c0ed3"/>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rsid w:val="003c0ed3"/>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rsid w:val="003c0ed3"/>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0ed3"/>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0ed3"/>
    <w:pPr>
      <w:keepNext w:val="true"/>
      <w:keepLines/>
      <w:spacing w:before="240" w:after="80"/>
      <w:outlineLvl w:val="4"/>
    </w:pPr>
    <w:rPr>
      <w:color w:val="666666"/>
    </w:rPr>
  </w:style>
  <w:style w:type="paragraph" w:styleId="Heading6">
    <w:name w:val="Heading 6"/>
    <w:basedOn w:val="Normal"/>
    <w:next w:val="Normal"/>
    <w:uiPriority w:val="9"/>
    <w:semiHidden/>
    <w:unhideWhenUsed/>
    <w:qFormat/>
    <w:rsid w:val="003c0ed3"/>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TextocomentarioCar" w:customStyle="1">
    <w:name w:val="Texto comentario Car"/>
    <w:basedOn w:val="DefaultParagraphFont"/>
    <w:uiPriority w:val="99"/>
    <w:qFormat/>
    <w:rsid w:val="003c0ed3"/>
    <w:rPr>
      <w:sz w:val="20"/>
      <w:szCs w:val="20"/>
    </w:rPr>
  </w:style>
  <w:style w:type="character" w:styleId="annotationreference">
    <w:name w:val="annotation reference"/>
    <w:basedOn w:val="DefaultParagraphFont"/>
    <w:uiPriority w:val="99"/>
    <w:semiHidden/>
    <w:unhideWhenUsed/>
    <w:qFormat/>
    <w:rsid w:val="003c0ed3"/>
    <w:rPr>
      <w:sz w:val="16"/>
      <w:szCs w:val="16"/>
    </w:rPr>
  </w:style>
  <w:style w:type="character" w:styleId="TextonotapieCar" w:customStyle="1">
    <w:name w:val="Texto nota pie Car"/>
    <w:basedOn w:val="DefaultParagraphFont"/>
    <w:uiPriority w:val="99"/>
    <w:semiHidden/>
    <w:qFormat/>
    <w:rsid w:val="00c32751"/>
    <w:rPr>
      <w:rFonts w:ascii="Cambria" w:hAnsi="Cambria" w:eastAsia="Cambria" w:cs="" w:asciiTheme="minorHAnsi" w:cstheme="minorBidi" w:eastAsiaTheme="minorHAnsi" w:hAnsiTheme="minorHAnsi"/>
      <w:kern w:val="2"/>
      <w:sz w:val="20"/>
      <w:szCs w:val="20"/>
      <w:lang w:val="es-AR" w:eastAsia="en-US"/>
    </w:rPr>
  </w:style>
  <w:style w:type="character" w:styleId="Caracteresdenotaalpie">
    <w:name w:val="Caracteres de nota al pie"/>
    <w:basedOn w:val="DefaultParagraphFont"/>
    <w:uiPriority w:val="99"/>
    <w:semiHidden/>
    <w:unhideWhenUsed/>
    <w:qFormat/>
    <w:rsid w:val="00c32751"/>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c32751"/>
    <w:rPr>
      <w:color w:themeColor="hyperlink" w:val="0000FF"/>
      <w:u w:val="single"/>
    </w:rPr>
  </w:style>
  <w:style w:type="character" w:styleId="Ninguno" w:customStyle="1">
    <w:name w:val="Ninguno"/>
    <w:qFormat/>
    <w:rsid w:val="0051730b"/>
    <w:rPr>
      <w:lang w:val="es-ES_tradnl"/>
    </w:rPr>
  </w:style>
  <w:style w:type="character" w:styleId="AsuntodelcomentarioCar" w:customStyle="1">
    <w:name w:val="Asunto del comentario Car"/>
    <w:basedOn w:val="TextocomentarioCar"/>
    <w:link w:val="annotationsubject"/>
    <w:uiPriority w:val="99"/>
    <w:semiHidden/>
    <w:qFormat/>
    <w:rsid w:val="00992b22"/>
    <w:rPr>
      <w:rFonts w:ascii="Cambria" w:hAnsi="Cambria" w:eastAsia="Cambria" w:cs="" w:asciiTheme="minorHAnsi" w:cstheme="minorBidi" w:eastAsiaTheme="minorHAnsi" w:hAnsiTheme="minorHAnsi"/>
      <w:b/>
      <w:bCs/>
      <w:sz w:val="20"/>
      <w:szCs w:val="20"/>
      <w:lang w:val="es-AR" w:eastAsia="en-US"/>
    </w:rPr>
  </w:style>
  <w:style w:type="character" w:styleId="TextosinformatoCar" w:customStyle="1">
    <w:name w:val="Texto sin formato Car"/>
    <w:basedOn w:val="DefaultParagraphFont"/>
    <w:link w:val="PlainText"/>
    <w:uiPriority w:val="99"/>
    <w:qFormat/>
    <w:rsid w:val="00992b22"/>
    <w:rPr>
      <w:rFonts w:ascii="Consolas" w:hAnsi="Consolas" w:eastAsia="Calibri" w:cs="Times New Roman"/>
      <w:sz w:val="21"/>
      <w:szCs w:val="21"/>
      <w:lang w:val="en-US" w:eastAsia="en-US"/>
    </w:rPr>
  </w:style>
  <w:style w:type="character" w:styleId="Emphasis">
    <w:name w:val="Emphasis"/>
    <w:basedOn w:val="DefaultParagraphFont"/>
    <w:uiPriority w:val="20"/>
    <w:qFormat/>
    <w:rsid w:val="00992b22"/>
    <w:rPr>
      <w:i/>
      <w:iCs/>
    </w:rPr>
  </w:style>
  <w:style w:type="character" w:styleId="Strong">
    <w:name w:val="Strong"/>
    <w:basedOn w:val="DefaultParagraphFont"/>
    <w:uiPriority w:val="22"/>
    <w:qFormat/>
    <w:rsid w:val="00992b22"/>
    <w:rPr>
      <w:b/>
      <w:bCs/>
    </w:rPr>
  </w:style>
  <w:style w:type="character" w:styleId="UnresolvedMention" w:customStyle="1">
    <w:name w:val="Unresolved Mention"/>
    <w:basedOn w:val="DefaultParagraphFont"/>
    <w:uiPriority w:val="99"/>
    <w:semiHidden/>
    <w:unhideWhenUsed/>
    <w:qFormat/>
    <w:rsid w:val="00992b22"/>
    <w:rPr>
      <w:color w:val="605E5C"/>
      <w:shd w:fill="E1DFDD" w:val="clear"/>
    </w:rPr>
  </w:style>
  <w:style w:type="character" w:styleId="Hyperlink0" w:customStyle="1">
    <w:name w:val="Hyperlink.0"/>
    <w:basedOn w:val="Ninguno"/>
    <w:qFormat/>
    <w:rsid w:val="00132e52"/>
    <w:rPr>
      <w:u w:val="single"/>
      <w:lang w:val="es-ES_tradnl"/>
    </w:rPr>
  </w:style>
  <w:style w:type="character" w:styleId="Hyperlink1" w:customStyle="1">
    <w:name w:val="Hyperlink.1"/>
    <w:basedOn w:val="Ninguno"/>
    <w:qFormat/>
    <w:rsid w:val="00132e52"/>
    <w:rPr>
      <w:color w:val="0000EE"/>
      <w:u w:val="single"/>
      <w:lang w:val="es-ES_tradnl"/>
    </w:rPr>
  </w:style>
  <w:style w:type="character" w:styleId="Hyperlink2" w:customStyle="1">
    <w:name w:val="Hyperlink.2"/>
    <w:basedOn w:val="DefaultParagraphFont"/>
    <w:qFormat/>
    <w:rsid w:val="00132e52"/>
    <w:rPr>
      <w:color w:val="000000"/>
      <w:u w:val="single" w:color="0000FF"/>
    </w:rPr>
  </w:style>
  <w:style w:type="character" w:styleId="TextodegloboCar" w:customStyle="1">
    <w:name w:val="Texto de globo Car"/>
    <w:basedOn w:val="DefaultParagraphFont"/>
    <w:link w:val="BalloonText"/>
    <w:uiPriority w:val="99"/>
    <w:semiHidden/>
    <w:qFormat/>
    <w:rsid w:val="00b17de0"/>
    <w:rPr>
      <w:rFonts w:ascii="Tahoma" w:hAnsi="Tahoma" w:cs="Tahoma"/>
      <w:sz w:val="16"/>
      <w:szCs w:val="16"/>
    </w:rPr>
  </w:style>
  <w:style w:type="character" w:styleId="EndnoteReference">
    <w:name w:val="Endnote Reference"/>
    <w:rPr>
      <w:vertAlign w:val="superscript"/>
    </w:rPr>
  </w:style>
  <w:style w:type="character" w:styleId="Caracteresdenotafinal">
    <w:name w:val="Caracteres de nota final"/>
    <w:qFormat/>
    <w:rPr/>
  </w:style>
  <w:style w:type="paragraph" w:styleId="Ttulo">
    <w:name w:val="Título"/>
    <w:basedOn w:val="Normal"/>
    <w:next w:val="BodyText"/>
    <w:qFormat/>
    <w:pPr>
      <w:keepNext w:val="true"/>
      <w:spacing w:before="240" w:after="120"/>
    </w:pPr>
    <w:rPr>
      <w:rFonts w:ascii="Liberation Sans" w:hAnsi="Liberation Sans" w:eastAsia="Noto Sans CJK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uiPriority w:val="10"/>
    <w:qFormat/>
    <w:rsid w:val="003c0ed3"/>
    <w:pPr>
      <w:keepNext w:val="true"/>
      <w:keepLines/>
      <w:spacing w:before="0" w:after="60"/>
    </w:pPr>
    <w:rPr>
      <w:sz w:val="52"/>
      <w:szCs w:val="52"/>
    </w:rPr>
  </w:style>
  <w:style w:type="paragraph" w:styleId="Subtitle">
    <w:name w:val="Subtitle"/>
    <w:basedOn w:val="Normal"/>
    <w:next w:val="Normal"/>
    <w:uiPriority w:val="11"/>
    <w:qFormat/>
    <w:rsid w:val="003c0ed3"/>
    <w:pPr>
      <w:keepNext w:val="true"/>
      <w:keepLines/>
      <w:spacing w:before="0" w:after="320"/>
    </w:pPr>
    <w:rPr>
      <w:color w:val="666666"/>
      <w:sz w:val="30"/>
      <w:szCs w:val="30"/>
    </w:rPr>
  </w:style>
  <w:style w:type="paragraph" w:styleId="AnnotationText">
    <w:name w:val="Annotation Text"/>
    <w:basedOn w:val="Normal"/>
    <w:link w:val="TextocomentarioCar"/>
    <w:uiPriority w:val="99"/>
    <w:unhideWhenUsed/>
    <w:rsid w:val="003c0ed3"/>
    <w:pPr>
      <w:spacing w:lineRule="auto" w:line="240"/>
    </w:pPr>
    <w:rPr>
      <w:sz w:val="20"/>
      <w:szCs w:val="20"/>
    </w:rPr>
  </w:style>
  <w:style w:type="paragraph" w:styleId="ListParagraph">
    <w:name w:val="List Paragraph"/>
    <w:basedOn w:val="Normal"/>
    <w:uiPriority w:val="34"/>
    <w:qFormat/>
    <w:rsid w:val="00c32751"/>
    <w:pPr>
      <w:spacing w:lineRule="auto" w:line="259" w:before="0" w:after="160"/>
      <w:ind w:start="720"/>
      <w:contextualSpacing/>
    </w:pPr>
    <w:rPr>
      <w:rFonts w:ascii="Cambria" w:hAnsi="Cambria" w:eastAsia="Cambria" w:cs="" w:asciiTheme="minorHAnsi" w:cstheme="minorBidi" w:eastAsiaTheme="minorHAnsi" w:hAnsiTheme="minorHAnsi"/>
      <w:kern w:val="2"/>
      <w:lang w:val="es-AR" w:eastAsia="en-US"/>
    </w:rPr>
  </w:style>
  <w:style w:type="paragraph" w:styleId="FootnoteText" w:customStyle="1">
    <w:name w:val="Footnote Text"/>
    <w:link w:val="TextonotapieCar"/>
    <w:rsid w:val="0051730b"/>
    <w:pPr>
      <w:widowControl/>
      <w:pBdr/>
      <w:bidi w:val="0"/>
      <w:spacing w:lineRule="auto" w:line="240" w:before="0" w:after="0"/>
      <w:jc w:val="start"/>
    </w:pPr>
    <w:rPr>
      <w:rFonts w:ascii="Helvetica Neue" w:hAnsi="Helvetica Neue" w:eastAsia="Helvetica Neue" w:cs="Helvetica Neue"/>
      <w:color w:val="000000"/>
      <w:kern w:val="0"/>
      <w:sz w:val="22"/>
      <w:szCs w:val="22"/>
      <w:lang w:val="es-AR" w:eastAsia="es-AR" w:bidi="ar-SA"/>
    </w:rPr>
  </w:style>
  <w:style w:type="paragraph" w:styleId="Cuerpo" w:customStyle="1">
    <w:name w:val="Cuerpo"/>
    <w:qFormat/>
    <w:rsid w:val="0051730b"/>
    <w:pPr>
      <w:widowControl/>
      <w:pBdr/>
      <w:bidi w:val="0"/>
      <w:spacing w:lineRule="auto" w:line="240" w:before="0" w:after="0"/>
      <w:jc w:val="start"/>
    </w:pPr>
    <w:rPr>
      <w:rFonts w:ascii="Times New Roman" w:hAnsi="Times New Roman" w:eastAsia="Arial Unicode MS" w:cs="Arial Unicode MS"/>
      <w:color w:val="000000"/>
      <w:kern w:val="0"/>
      <w:sz w:val="24"/>
      <w:szCs w:val="24"/>
      <w:u w:val="none" w:color="000000"/>
      <w:lang w:val="es-AR" w:eastAsia="es-AR" w:bidi="ar-SA"/>
    </w:rPr>
  </w:style>
  <w:style w:type="paragraph" w:styleId="Poromisin" w:customStyle="1">
    <w:name w:val="Por omisión"/>
    <w:qFormat/>
    <w:rsid w:val="0051730b"/>
    <w:pPr>
      <w:widowControl/>
      <w:pBdr/>
      <w:bidi w:val="0"/>
      <w:spacing w:lineRule="auto" w:line="240" w:before="0" w:after="0"/>
      <w:jc w:val="start"/>
    </w:pPr>
    <w:rPr>
      <w:rFonts w:ascii="Helvetica Neue" w:hAnsi="Helvetica Neue" w:eastAsia="Helvetica Neue" w:cs="Helvetica Neue"/>
      <w:color w:val="000000"/>
      <w:kern w:val="0"/>
      <w:sz w:val="22"/>
      <w:szCs w:val="22"/>
      <w:lang w:val="es-AR" w:eastAsia="es-AR" w:bidi="ar-SA"/>
    </w:rPr>
  </w:style>
  <w:style w:type="paragraph" w:styleId="Default" w:customStyle="1">
    <w:name w:val="Default"/>
    <w:qFormat/>
    <w:rsid w:val="00992b22"/>
    <w:pPr>
      <w:widowControl/>
      <w:bidi w:val="0"/>
      <w:spacing w:lineRule="auto" w:line="240" w:before="0" w:after="0"/>
      <w:jc w:val="start"/>
    </w:pPr>
    <w:rPr>
      <w:rFonts w:ascii="Book Antiqua" w:hAnsi="Book Antiqua" w:eastAsia="Cambria" w:cs="Book Antiqua" w:eastAsiaTheme="minorHAnsi"/>
      <w:color w:val="000000"/>
      <w:kern w:val="0"/>
      <w:sz w:val="24"/>
      <w:szCs w:val="24"/>
      <w:lang w:val="es-AR" w:eastAsia="en-US" w:bidi="ar-SA"/>
    </w:rPr>
  </w:style>
  <w:style w:type="paragraph" w:styleId="annotationsubject">
    <w:name w:val="annotation subject"/>
    <w:basedOn w:val="AnnotationText"/>
    <w:next w:val="AnnotationText"/>
    <w:link w:val="AsuntodelcomentarioCar"/>
    <w:uiPriority w:val="99"/>
    <w:semiHidden/>
    <w:unhideWhenUsed/>
    <w:qFormat/>
    <w:rsid w:val="00992b22"/>
    <w:pPr>
      <w:spacing w:before="0" w:after="160"/>
    </w:pPr>
    <w:rPr>
      <w:rFonts w:ascii="Cambria" w:hAnsi="Cambria" w:eastAsia="Cambria" w:cs="" w:asciiTheme="minorHAnsi" w:cstheme="minorBidi" w:eastAsiaTheme="minorHAnsi" w:hAnsiTheme="minorHAnsi"/>
      <w:b/>
      <w:bCs/>
      <w:lang w:val="es-AR" w:eastAsia="en-US"/>
    </w:rPr>
  </w:style>
  <w:style w:type="paragraph" w:styleId="PlainText">
    <w:name w:val="Plain Text"/>
    <w:basedOn w:val="Normal"/>
    <w:link w:val="TextosinformatoCar"/>
    <w:uiPriority w:val="99"/>
    <w:unhideWhenUsed/>
    <w:qFormat/>
    <w:rsid w:val="00992b22"/>
    <w:pPr>
      <w:spacing w:lineRule="auto" w:line="240"/>
    </w:pPr>
    <w:rPr>
      <w:rFonts w:ascii="Consolas" w:hAnsi="Consolas" w:eastAsia="Calibri" w:cs="Times New Roman"/>
      <w:sz w:val="21"/>
      <w:szCs w:val="21"/>
      <w:lang w:val="en-US" w:eastAsia="en-US"/>
    </w:rPr>
  </w:style>
  <w:style w:type="paragraph" w:styleId="Revision">
    <w:name w:val="Revision"/>
    <w:uiPriority w:val="99"/>
    <w:semiHidden/>
    <w:qFormat/>
    <w:rsid w:val="00992b22"/>
    <w:pPr>
      <w:widowControl/>
      <w:bidi w:val="0"/>
      <w:spacing w:lineRule="auto" w:line="240" w:before="0" w:after="0"/>
      <w:jc w:val="start"/>
    </w:pPr>
    <w:rPr>
      <w:rFonts w:ascii="Cambria" w:hAnsi="Cambria" w:eastAsia="Cambria" w:cs="" w:asciiTheme="minorHAnsi" w:cstheme="minorBidi" w:eastAsiaTheme="minorHAnsi" w:hAnsiTheme="minorHAnsi"/>
      <w:color w:val="auto"/>
      <w:kern w:val="0"/>
      <w:sz w:val="22"/>
      <w:szCs w:val="22"/>
      <w:lang w:val="es-AR" w:eastAsia="en-US" w:bidi="ar-SA"/>
    </w:rPr>
  </w:style>
  <w:style w:type="paragraph" w:styleId="BalloonText">
    <w:name w:val="Balloon Text"/>
    <w:basedOn w:val="Normal"/>
    <w:link w:val="TextodegloboCar"/>
    <w:uiPriority w:val="99"/>
    <w:semiHidden/>
    <w:unhideWhenUsed/>
    <w:qFormat/>
    <w:rsid w:val="00b17de0"/>
    <w:pPr>
      <w:spacing w:lineRule="auto" w:line="240"/>
    </w:pPr>
    <w:rPr>
      <w:rFonts w:ascii="Tahoma" w:hAnsi="Tahoma" w:cs="Tahoma"/>
      <w:sz w:val="16"/>
      <w:szCs w:val="16"/>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3c0ed3"/>
    <w:tblPr>
      <w:tblCellMar>
        <w:top w:w="0" w:type="dxa"/>
        <w:left w:w="0" w:type="dxa"/>
        <w:bottom w:w="0" w:type="dxa"/>
        <w:right w:w="0" w:type="dxa"/>
      </w:tblCellMar>
    </w:tblPr>
  </w:style>
  <w:style w:type="table" w:styleId="Tablaconcuadrcula">
    <w:name w:val="Table Grid"/>
    <w:basedOn w:val="Tablanormal"/>
    <w:uiPriority w:val="39"/>
    <w:rsid w:val="00c32751"/>
    <w:pPr>
      <w:spacing w:line="240" w:lineRule="auto"/>
    </w:pPr>
    <w:rPr>
      <w:rFonts w:asciiTheme="minorHAnsi" w:hAnsiTheme="minorHAnsi" w:eastAsiaTheme="minorHAnsi" w:cstheme="minorBidi"/>
      <w:lang w:val="es-AR"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F5AF3-8294-40A6-87AD-371033D9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Application>LibreOffice/24.2.7.2$Linux_X86_64 LibreOffice_project/420$Build-2</Application>
  <AppVersion>15.0000</AppVersion>
  <Pages>3</Pages>
  <Words>1272</Words>
  <Characters>6773</Characters>
  <CharactersWithSpaces>8040</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2026-06-08T18:46:00Z</dcterms:created>
  <dc:creator>user</dc:creator>
  <dc:description/>
  <dc:language>es-AR</dc:language>
  <cp:lastModifiedBy/>
  <dcterms:modified xsi:type="dcterms:W3CDTF">2026-09-16T12:26:39Z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