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t>Cap05</w:t>
      </w:r>
    </w:p>
    <w:p>
      <w:pPr>
        <w:pStyle w:val="Normal"/>
        <w:spacing w:lineRule="auto" w:line="360" w:before="0" w:after="0"/>
        <w:rPr>
          <w:rFonts w:ascii="Times New Roman" w:hAnsi="Times New Roman" w:eastAsia="Times New Roman" w:cs="Times New Roman"/>
          <w:b/>
          <w:sz w:val="24"/>
          <w:szCs w:val="24"/>
        </w:rPr>
      </w:pPr>
      <w:r>
        <w:rPr/>
      </w:r>
    </w:p>
    <w:p>
      <w:pPr>
        <w:pStyle w:val="Normal"/>
        <w:spacing w:lineRule="auto" w:line="360" w:before="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¿Todo sigue igual? La pandemia para los trabajadores esenciales </w:t>
      </w:r>
    </w:p>
    <w:p>
      <w:pPr>
        <w:pStyle w:val="Normal"/>
        <w:spacing w:lineRule="auto" w:line="360"/>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Marina Moguillansky </w:t>
      </w:r>
    </w:p>
    <w:p>
      <w:pPr>
        <w:pStyle w:val="Normal"/>
        <w:spacing w:lineRule="auto" w:line="360"/>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360" w:before="24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Introducción</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 Argentina llega a la pandemia con una situación económica delicada y un reciente cambio de gobierno. Tras varios años de estancamiento e inflación, el país tenía niveles cada vez más altos de pobreza y desigualdad, así como dificultades en el mercado de trabajo con alta informalidad laboral (Dalle, 2021). El enfoque del gobierno nacional se basó en una cuarentena estricta y prolongada que buscaba evitar o al menos retrasar los contagios para poder preparar mejor el sistema sanitario. Como las medidas preventivas empeoraron la crisis económica, se introdujo el </w:t>
      </w:r>
      <w:r>
        <w:rPr>
          <w:rFonts w:eastAsia="Times New Roman" w:cs="Times New Roman" w:ascii="Times New Roman" w:hAnsi="Times New Roman"/>
          <w:i/>
          <w:iCs/>
          <w:sz w:val="24"/>
          <w:szCs w:val="24"/>
        </w:rPr>
        <w:t>Ingreso Familiar de Emergencia</w:t>
      </w:r>
      <w:r>
        <w:rPr>
          <w:rFonts w:eastAsia="Times New Roman" w:cs="Times New Roman" w:ascii="Times New Roman" w:hAnsi="Times New Roman"/>
          <w:sz w:val="24"/>
          <w:szCs w:val="24"/>
        </w:rPr>
        <w:t xml:space="preserve"> para mitigar el impacto en los sectores más afectados, y el </w:t>
      </w:r>
      <w:r>
        <w:rPr>
          <w:rFonts w:eastAsia="Times New Roman" w:cs="Times New Roman" w:ascii="Times New Roman" w:hAnsi="Times New Roman"/>
          <w:i/>
          <w:iCs/>
          <w:sz w:val="24"/>
          <w:szCs w:val="24"/>
        </w:rPr>
        <w:t>Programa de Asistencia de emergencia al Trabajo y la Producción</w:t>
      </w:r>
      <w:r>
        <w:rPr>
          <w:rFonts w:eastAsia="Times New Roman" w:cs="Times New Roman" w:ascii="Times New Roman" w:hAnsi="Times New Roman"/>
          <w:sz w:val="24"/>
          <w:szCs w:val="24"/>
        </w:rPr>
        <w:t>. La efectividad de estas políticas fue parcial y la pandemia profundizó las desigualdades socioeconómicas previas, afectando más a los trabajadores informales y a los sectores populares (Heredia et al., 2022).</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Los trabajadores de servicios esenciales estuvieron exceptuados de la cuarentena. En Argentina los servicios esenciales incluyeron a los profesionales de la salud, como médicos y enfermeras; al personal de seguridad; a los empleados de todo el sector de alimentos, supermercados y farmacias; y a los involucrados en el transporte y la logística. A diferencia del resto de la población, que se confinó en sus hogares debido a las medidas de prevención, los esenciales tuvieron que seguir trabajando para cumplir con sus funciones. Esta necesidad de mantener sus actividades a pesar de las restricciones generales dio lugar a una experiencia laboral y personal distinta durante la crisis sanitaria, marcando una diferencia significativa en comparación con las experiencias de quienes permanecieron en aislamiento.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Si la pandemia y el aislamiento fueron hitos en las vidas de cualquier persona, las experiencias de quienes fueron considerados esenciales contrastan con el resto. Como no dejaron de salir de sus casas ni de acudir a sus lugares de trabajo, en sus relatos se perciben algunas continuidades en las rutinas cotidianas. Sin embargo, en sus jornadas laborales, se movían por una ciudad desierta. El escenario urbano estaba transformado por el cierre de locales no esenciales, la menor circulación de personas y de automóviles, había controles policiales en las calles y en las fronteras entre distritos. Durante los primeros meses, en la ciudad había silencio. También los espacios laborales cambiaron: surgieron nuevos protocolos, burbujas de trabajo y el uso obligatorio de equipos de protección. En particular, los trabajadores de la salud enfrentaron situaciones muy complejas, lidiando de cerca con la enfermedad y la muerte.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este capítulo presentamos tres historias de hombres que fueron consideradas esenciales y que se insertaban en diversas ramas de la economía: un profesional de la salud, un empleado del sector de alimentos y un trabajador calificado de una empresa de higiene urbana. Hemos escogido narrar solo historias de varones que fueron esenciales, para poder enfocar el análisis en la diversidad de experiencias en diferentes sectores económicos. </w:t>
      </w:r>
    </w:p>
    <w:p>
      <w:pPr>
        <w:pStyle w:val="Normal"/>
        <w:spacing w:lineRule="auto" w:line="360" w:before="24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Trabajo, desigualdad y riesgos en pandemia</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 trabajo es un organizador del mundo de la vida, de las rutinas cotidianas y la identidad personal y es también el principal distribuidor de recursos. Desde la década de 1970, la segmentación del trabajo entre el empleo protegido y el empleo precario dio lugar a un proceso de creciente desigualdad (Castel, 1995). En Argentina, estas tendencias también se manifestaron y se consolidó una estructura dual con un sector de la población integrada en empleos formales y otro sector en empleos informales, con salarios más bajos y condiciones inestables. Mientras los trabajadores del sector público y privado formal se encuentran protegidos, la informalidad laboral afecta a un tercio de los asalariados y a dos tercios de los trabajadores no asalariados (Salvia, Fachal y Robles, 2018). La crisis económica que se inicia en 2017 en el país aumenta el déficit de empleo, incrementa la subocupación y el empleo informal, y deteriora en nivel de ingresos de buena parte de la población. Por ello es que la pandemia produce una crisis que se suma a una situación ya delicada en términos socioeconómicos en la Argentina.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 sociedad del riesgo, según Ulrich Beck (1998), se caracteriza por la producción de problemas que afectan a la humanidad por la propia actividad industrial y tecnológica. Estos nuevos riesgos afectan al mundo en su totalidad, pero están distribuidos desigualmente, ya que los más poderosos pueden resguardarse (teletrabajo, acceso a cuidados), mientras otros se ven obligados a exponerse. En este sentido, Robert Castel señala que el aumento de la precariedad laboral y de la inseguridad social propios de la crisis del Estado de bienestar producen un riesgo social de desafiliación. La pandemia viene a exacerbar esas desigualdades y precariedades afectando en mayor medida a los trabajadores informales, a los menos calificados y a los que tienen menores recursos.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Así, durante la pandemia dos tipos de riesgo recayeron en los sujetos más desprotegidos: la precariedad del trabajo y las posibilidades de contagio. En sociedades contemporáneas y en Argentina en particular el trabajo formal retrocede y es cada vez mayor el peso de la precariedad laboral, en sus múltiples versiones. La precariedad implica una "</w:t>
      </w:r>
      <w:bookmarkStart w:id="0" w:name="_Hlk196745736"/>
      <w:r>
        <w:rPr>
          <w:rFonts w:eastAsia="Times New Roman" w:cs="Times New Roman" w:ascii="Times New Roman" w:hAnsi="Times New Roman"/>
          <w:sz w:val="24"/>
          <w:szCs w:val="24"/>
        </w:rPr>
        <w:t>zona de vulnerabilidad” (Castel, 1995: 13) cada vez más amplia, en la cual individuos con diferentes trayectorias entre empleos informales y períodos de desocupación, se encuentran en una creciente desafiliación social</w:t>
      </w:r>
      <w:bookmarkEnd w:id="0"/>
      <w:r>
        <w:rPr>
          <w:rFonts w:eastAsia="Times New Roman" w:cs="Times New Roman" w:ascii="Times New Roman" w:hAnsi="Times New Roman"/>
          <w:sz w:val="24"/>
          <w:szCs w:val="24"/>
        </w:rPr>
        <w:t xml:space="preserve">. En la pandemia, los trabajadores informales y los autoempleados tuvieron que buscar formas de seguir trabajando, ya que de lo contrario no recibían ingresos. Así, se vieron expuestos al doble riesgo económico y sanitario.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 género también fue estructurador de clivajes de desigualdad, sobrecarga de trabajo y exposición al doble riesgo mencionado. Para las mujeres el riesgo fue mayor porque suelen insertarse en trabajos informales y desprotegidos, con salarios más bajos y en ocupaciones que se vinculan con el cuidado de otros, como la educación, enfermería, asistencia social, limpieza, servicios personales. Durante la pandemia, este tipo de trabajos supusieron un riesgo alto de exposición al virus. La mayoría de esas ocupaciones fueron consideradas esenciales -a excepción de la educación- por lo cual muchas mujeres debieron seguir trabajando y, a su vez, asumir mayores tareas de cuidado (de sus hijos y de personas mayores).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dimensión geográfica fue importante como determinante de la experiencia de la pandemia y del aislamiento. Las restricciones de movilidad y los controles de tránsito fueron especialmente fuertes en las grandes ciudades como Buenos Aires y su entorno metropolitano. Allí se dieron los mayores índices de contagios y también fueron más prolongadas las medidas de cuarentena y más estrictos los controles. De esta forma, la pandemia transformó drásticamente la dinámica urbana, ya que por un tiempo disminuyó notoriamente la circulación y la ciudad se veía desierta. El aislamiento obligatorio en Argentina tuvo como consecuencia la creación de espacios urbanos vacíos, marcados por la vigilancia del Estado, que controlaba el cumplimiento de las restricciones. Las imágenes de una Buenos Aires desierta, pero bajo supervisión policial y militar, contrastaron con la presencia cotidiana de los trabajadores esenciales, quienes, a pesar de las medidas de aislamiento, continuaban sus actividades para sostener la vida urbana.</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categoría de "trabajador esencial" se construyó rápidamente durante la pandemia para designar a aquellos cuyas funciones eran imprescindibles para el sostenimiento de la vida. Esta categoría incluía a personal de salud, transportistas, trabajadores de supermercados, entre otros. A pesar de su centralidad en la crisis, los trabajadores esenciales no siempre contaron con el reconocimiento o la protección adecuada, reforzando las lógicas de desigualdad ya mencionadas. En este contexto, las ciudades, aunque vacías para la mayoría, fueron espacios de alto riesgo y exposición para estos sectores, lo que pone en evidencia la heterogeneidad de experiencias de la pandemia.</w:t>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Los trabajadores esenciales: historias de vida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las siguientes páginas presentaremos las historias de tres trabajadores esenciales, que tuvieron diferentes inserciones laborales y cuyas experiencias nos permitirán reconstruir la heterogeneidad del impacto biográfico de la pandemia, así como también develar algunas dimensiones comunes. Buscando reflejar la diversidad de ocupaciones que fueron consideradas esenciales, elegimos a sujetos que se insertaran profesionalmente en diferentes sectores: un profesional de la salud, un empleado de una empresa de alimentos, y un empleado de una empresa de higiene urbana. </w:t>
      </w:r>
    </w:p>
    <w:p>
      <w:pPr>
        <w:pStyle w:val="Normal"/>
        <w:spacing w:lineRule="auto" w:line="360" w:before="240" w:after="0"/>
        <w:jc w:val="both"/>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Muerte y riesgo: la historia de Gabriel, farmacéutico clínico</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marzo de 2020 Gabriel tenía 35 años. Casado con Daniela, un hijo de tres años y un bebé en camino. Compartían un departamento de tres ambientes en Almagro. Él trabajaba como farmacéutico clínico en un hospital público de la Ciudad de Buenos Aires. En tanto trabajador esencial, siguió con su actividad profesional durante todo el período de aislamiento. Además, su esposa también fue considerada esencial. Ambos siguieron trabajando en forma presencial, con permisos especiales de circulación. Como tenían un hijo pequeño, tuvieron que hacer arreglos familiares para su cuidado; las abuelas se turnaron para quedarse con él. </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Cuando le tocaba salir a trabajar en el hospital, la experiencia de la ciudad desierta era algo que nunca había conocido. El paisaje urbano desolado que veía al trasladarse desde su departamento en Almagro hasta el hospital en el Bajo Flores lo sorprendía: «era como de ciencia ficción. Salía a la calle y no había autos, el trayecto que solía tomar media hora lo hacía en diez minutos</w:t>
      </w:r>
      <w:r>
        <w:rPr>
          <w:rFonts w:cs="Times New Roman" w:ascii="Times New Roman" w:hAnsi="Times New Roman"/>
          <w:sz w:val="24"/>
          <w:szCs w:val="24"/>
        </w:rPr>
        <w:t>»</w:t>
      </w:r>
      <w:r>
        <w:rPr>
          <w:rFonts w:eastAsia="Times New Roman" w:cs="Times New Roman" w:ascii="Times New Roman" w:hAnsi="Times New Roman"/>
          <w:sz w:val="24"/>
          <w:szCs w:val="24"/>
        </w:rPr>
        <w:t xml:space="preserve">. El tiempo de traslado era menor, algo que muchos trabajadores esenciales apreciaron en las entrevistas; al mismo tiempo, eran espectadores de una ciudad sin movimiento, con poco tránsito vehicular, controles policiales y escasas personas. </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nivel laboral, la pandemia cambió su rutina como farmacéutico clínico. En el hospital, su trabajo era recorrer las salas de internación, revisar la medicación e interactuar con médicos y pacientes para coordinar los esquemas terapéuticos, ajustar tratamientos y dosis. Al decretarse la cuarentena, en su servicio se crearon grupos de trabajo rotativos para evitar contagios masivos entre el personal. Gabriel trabajaba una semana haciendo doble horario, y la siguiente la pasaba aislado en su casa. </w:t>
      </w:r>
    </w:p>
    <w:p>
      <w:pPr>
        <w:pStyle w:val="Normal"/>
        <w:spacing w:before="240" w:after="0"/>
        <w:ind w:left="566"/>
        <w:jc w:val="both"/>
        <w:rPr>
          <w:rFonts w:ascii="Times New Roman" w:hAnsi="Times New Roman" w:eastAsia="Times New Roman" w:cs="Times New Roman"/>
        </w:rPr>
      </w:pPr>
      <w:r>
        <w:rPr>
          <w:rFonts w:eastAsia="Times New Roman" w:cs="Times New Roman" w:ascii="Times New Roman" w:hAnsi="Times New Roman"/>
        </w:rPr>
        <w:t xml:space="preserve">«Al principio fue todo nuevo, un montón de recomendaciones. Había que acondicionar cosas relacionadas con la medicación, los insumos, asegurarse que esté todo -había incluso un temor muy grande por la falta de barbijos-, y para nosotros la indicación fue quedarnos en la farmacia, no ir más a las salas. También fue un momento de leer </w:t>
      </w:r>
      <w:r>
        <w:rPr>
          <w:rFonts w:eastAsia="Times New Roman" w:cs="Times New Roman" w:ascii="Times New Roman" w:hAnsi="Times New Roman"/>
          <w:i/>
          <w:iCs/>
        </w:rPr>
        <w:t>papers</w:t>
      </w:r>
      <w:r>
        <w:rPr>
          <w:rFonts w:eastAsia="Times New Roman" w:cs="Times New Roman" w:ascii="Times New Roman" w:hAnsi="Times New Roman"/>
        </w:rPr>
        <w:t xml:space="preserve"> todos los días, a ver qué había salido, porque era una patología nueva. Era quedarme de noche leyendo para ver qué nuevos fármacos se estaban probando y qué protocolos usaban en otros lugares</w:t>
      </w:r>
      <w:bookmarkStart w:id="1" w:name="_Hlk198916738"/>
      <w:r>
        <w:rPr>
          <w:rFonts w:cs="Times New Roman" w:ascii="Times New Roman" w:hAnsi="Times New Roman"/>
          <w:sz w:val="24"/>
          <w:szCs w:val="24"/>
        </w:rPr>
        <w:t>»</w:t>
      </w:r>
      <w:bookmarkEnd w:id="1"/>
      <w:r>
        <w:rPr>
          <w:rFonts w:cs="Times New Roman" w:ascii="Times New Roman" w:hAnsi="Times New Roman"/>
          <w:sz w:val="24"/>
          <w:szCs w:val="24"/>
        </w:rPr>
        <w:t>.</w:t>
      </w:r>
      <w:r>
        <w:rPr>
          <w:rFonts w:eastAsia="Times New Roman" w:cs="Times New Roman" w:ascii="Times New Roman" w:hAnsi="Times New Roman"/>
        </w:rPr>
        <w:t xml:space="preserve"> </w:t>
      </w:r>
    </w:p>
    <w:p>
      <w:pPr>
        <w:pStyle w:val="Normal"/>
        <w:spacing w:lineRule="auto" w:line="360" w:before="240" w:after="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 emergencia, la novedad del virus y el desconocimiento sobre los tratamientos eficaces hizo que se publicaran cientos de artículos médicos a nivel mundial. Para el personal de salud, se volvió un desafío estar al tanto de las novedades para evaluar qué se podía implementar. En muchos casos, como en el testimonio de Gabriel y otros trabajadores de la salud, por fuera del horario de trabajo, se tomaron un tiempo extra para actualizarse. A la incertidumbre acerca de la eficacia de las formas de tratamiento en los primeros meses de la pandemia, para los trabajadores de la salud se sumaba el estrés de trabajar con enfermos graves en forma constante. A Gabriel el contacto con la muerte lo afectó mucho, al punto de comenzar a tener problemas para dormir. </w:t>
      </w:r>
    </w:p>
    <w:p>
      <w:pPr>
        <w:pStyle w:val="Normal"/>
        <w:spacing w:before="240" w:after="240"/>
        <w:ind w:left="566"/>
        <w:jc w:val="both"/>
        <w:rPr>
          <w:rFonts w:ascii="Times New Roman" w:hAnsi="Times New Roman" w:eastAsia="Times New Roman" w:cs="Times New Roman"/>
        </w:rPr>
      </w:pPr>
      <w:r>
        <w:rPr>
          <w:rFonts w:eastAsia="Times New Roman" w:cs="Times New Roman" w:ascii="Times New Roman" w:hAnsi="Times New Roman"/>
        </w:rPr>
        <w:t>«Me pasaba que por las noches tenía como unos despertares medio…no sé si decirle ataque de pánico… pero sí que me despertaba asustado, con una sensación muy opresiva. Eso me pasaba en las semanas que iba al hospital, porque había mucha muerte alrededor. En la terapia intensiva en un primer momento el 90 % de los pacientes que entraban se morían. No se sabía cómo manejarlos, un montón de cosas se fueron aprendiendo con el tiempo. Entonces sí, había mucha muerte alrededor</w:t>
      </w:r>
      <w:r>
        <w:rPr>
          <w:rFonts w:cs="Times New Roman" w:ascii="Times New Roman" w:hAnsi="Times New Roman"/>
          <w:sz w:val="24"/>
          <w:szCs w:val="24"/>
        </w:rPr>
        <w:t>».</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Si bien no tuvo casos graves ni pérdidas entre sus familiares, uno de sus colegas del hospital y de su propio sector se contagió COVID y terminó falleciendo un tiempo después, a raíz de las secuelas respiratorias. También señala como un momento complicado el pico de casos en abril y mayo de 2021, cuando el sistema de salud colapsó: «Era una catarata de muertes, números atroces. Gente que en 2020 se hubiera internado, en 2021 no había camas para internarlos. Hubo gente que falleció porque se llegó tarde a la terapia». En este sentido, para él fue muy duro lidiar con la discrepancia entre lo que veía en el hospital y el discurso público de las autoridades, que negaban la saturación del sistema.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contraste, para Gabriel la semana de quedarse en casa era de descanso y disfrute: «fue un tiempo que valoré mucho, más allá de todo, pasé tiempo con mi hijo, y eso fue una de las cosas lindas de la pandemia». El departamento contaba con un pequeño balcón que se convirtió en su refugio, un espacio donde jugaba al fútbol con su hijo, ya que salir a la calle no era posible. Con todo, siempre tenía miedo de contagiar a su hijo o a otros familiares. Por eso recuerda la llegada de las vacunas como un gran alivio: «con la vacuna me sentí más tranquilo, fue un hecho muy emocionante». La vacunación no solo le devolvió la seguridad en su trabajo, sino que también marcó un punto de inflexión en su percepción del riesgo, tanto para él como para quienes lo rodeaban. Fue de los primeros en recibir la vacuna y, a partir de entonces, se sintió más aliviado al no ser un factor de transmisión (aunque luego se sabría que las vacunas no evitaban el contagio).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la conversación con Gabriel, haciendo un balance de su experiencia durante la pandemia, al estar vinculado al sector de salud y ver en forma cotidiana los casos graves y las muertes, destaca la importancia de la cuarentena y de las medidas de prevención de contagios, pero a la vez se lo nota empático y preocupado por quienes se vieron afectados económicamente.  Como trabajador esencial, pero más aún como trabajador registrado y de la planta del hospital, no tuvo que preocuparse por perder su trabajo, algo que reconoce como un privilegio en medio de la crisis. “Nunca tuvimos esa preocupación de llegar a fin de mes, siempre tuvimos trabajo. Imagino que para los comercios o los trabajadores informales fue mucho más duro”, reflexiona. En este sentido, su situación resuena con los análisis de Robert Castel sobre el riesgo del trabajo precario, donde aquellos sin una red de seguridad económica sufrieron las consecuencias más graves de la pandemia. Al preguntarle por cómo evalúa la gestión de la pandemia, considera que faltó más apoyo social para los que sufrieron la merma de ingresos o la pérdida del trabajo. </w:t>
      </w:r>
    </w:p>
    <w:p>
      <w:pPr>
        <w:pStyle w:val="Normal"/>
        <w:spacing w:lineRule="auto" w:line="360" w:before="240" w:after="240"/>
        <w:jc w:val="both"/>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El sector alimentos y la sobrecarga de trabajo: la historia de Diego</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2020, Diego tenía 45 años, estaba separado de la madre de su hija Daniela, de 11 años, a quien veía en semanas alternadas. Él alquilaba un departamento de dos ambientes en el barrio de Villa Urquiza. Terminó el colegio secundario de grande y después empezó un profesorado en Historia y una tecnicatura en una universidad nacional, los cuales se encontraba cursando cuando inició la pandemia. Trabajaba desde hacía más de veinte años en una fábrica de bebidas de gran tamaño, con una jornada de ocho horas diarias. Además, hacía algunas changas, daba clases en un bachillerato popular y tenía una intensa actividad de militancia social. </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Durante la pandemia la producción de alimentos y bebidas fue considerada un rubro esencial y, como Diego no tenía factores de riesgo, siguió asistiendo a su lugar de trabajo. La experiencia laboral en el aislamiento estuvo marcada por una mayor explotación y una sobrecarga de tareas que nunca antes había vivido, ya que muchos de sus compañeros se encontraban de licencia por ser considerados grupo de riesgo. </w:t>
      </w:r>
    </w:p>
    <w:p>
      <w:pPr>
        <w:pStyle w:val="Normal"/>
        <w:spacing w:before="240" w:after="240"/>
        <w:ind w:left="566"/>
        <w:jc w:val="both"/>
        <w:rPr>
          <w:rFonts w:ascii="Times New Roman" w:hAnsi="Times New Roman" w:eastAsia="Times New Roman" w:cs="Times New Roman"/>
          <w:sz w:val="24"/>
          <w:szCs w:val="24"/>
        </w:rPr>
      </w:pPr>
      <w:r>
        <w:rPr>
          <w:rFonts w:eastAsia="Times New Roman" w:cs="Times New Roman" w:ascii="Times New Roman" w:hAnsi="Times New Roman"/>
        </w:rPr>
        <w:t>Fui trabajador esencial toda la pandemia. Trabajé siempre y laburamos muchísimo más, porque como un montón de compañeros se fueron de licencia, o aislados, porque eran de riesgo, o estaban excedidos de peso…Hacíamos el mismo horario, pero con mucha menos gente laburando. Nosotros haciendo más cosas. Y las vacaciones las tuvimos, pero fraccionadas en partes, porque había poca gente y no se podía.</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el caso de los trabajadores de la fábrica no se armaron grupos rotativos. Los turnos y las tareas no se modificaron, de modo que la intensidad del trabajo fue mayor, por la falta de personal. La sobrecarga y los riesgos que asumían al seguir trabajando tuvieron una contrapartida por parte de la empresa, según cuenta Diego: «Durante la pandemia te cuidaban más, te adulaban, te ponían diez luquitas más porque éramos menos…». Sin embargo, esto fue solo temporal, y hacia septiembre de 2021 todo había vuelto a la normalidad. </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cuanto a los protocolos para evitar los contagios, la empresa les daba todos los elementos de protección: alcohol, guantes, barbijo y un jabón especial para lavarse las manos. Cuando alguien se contagiaba, quedaban aislados los que habían estado en contacto con esa persona. Aún así, recuerda que «contagios hubo un montón, sí. En un sector donde usualmente éramos 100 personas, en un momento habíamos quedado menos de la mitad laburando. Estaban casi todos contagiados». Por otro lado, la tensión de trabajar como esencial tenía un impacto emocional, ya que a la incertidumbre general de la pandemia se sumaba el miedo al contagio, en particular luego de la muerte de un compañero por COVID.</w:t>
      </w:r>
    </w:p>
    <w:p>
      <w:pPr>
        <w:pStyle w:val="Normal"/>
        <w:spacing w:before="240" w:after="240"/>
        <w:ind w:left="566"/>
        <w:jc w:val="both"/>
        <w:rPr>
          <w:rFonts w:ascii="Times New Roman" w:hAnsi="Times New Roman" w:eastAsia="Times New Roman" w:cs="Times New Roman"/>
          <w:sz w:val="24"/>
          <w:szCs w:val="24"/>
        </w:rPr>
      </w:pPr>
      <w:r>
        <w:rPr>
          <w:rFonts w:eastAsia="Times New Roman" w:cs="Times New Roman" w:ascii="Times New Roman" w:hAnsi="Times New Roman"/>
        </w:rPr>
        <w:t xml:space="preserve">«Tuve un compañero de laburo que tendría 42 años, que se murió de COVID y no tenía ninguna enfermedad previa, nada. Fue en agosto de 2020. Lo fusiló, fue muy rápido. Estaba en la casa y un jueves le dejó de atender el teléfono a la mujer y ya el viernes informaron que había fallecido. Eso fue fuerte, me tocó fuerte.»  </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Por otra parte, aunque trabajó toda la pandemia, durante el aislamiento cambió su vida cotidiana y se desarmaron sus rutinas. Diego daba clases en un bachillerato popular para adultos y esas clases pasaron a ser virtuales. También tomaba clases como estudiante del profesorado de Historia, y no se enganchó con la dinámica a distancia. Solía ir a la cancha los domingos y tenía participación activa en el club, y además jugaba al fútbol con amigos dos veces por semana. Todas esas actividades se suspendieron.   </w:t>
      </w:r>
    </w:p>
    <w:p>
      <w:pPr>
        <w:pStyle w:val="Normal"/>
        <w:spacing w:before="240" w:after="240"/>
        <w:ind w:left="708"/>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Antes tenía una vida social. Me juntaba mucho a comer asado con amigos, familiares y eso…No volví todavía a hacerlo. Con la pandemia me cambió un montón la vida cotidiana. Al estar más solo me cambió la alimentación, comía a cualquier hora y dormía a cualquier hora. Engordé como diez kilos. Todavía me cuesta mucho dormir, tengo un desorden, me acuesto y me duermo muy tarde. Tengo que tener la radio prendida para poder dormir, cosa que antes no hacía”</w:t>
      </w:r>
    </w:p>
    <w:p>
      <w:pPr>
        <w:pStyle w:val="Normal"/>
        <w:spacing w:lineRule="auto" w:line="360" w:before="240" w:after="24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Como cuenta, la experiencia del aislamiento trajo consecuencias que todavía siente al momento de hacer la entrevista, en enero de 2022. Señala en particular que empezó a tener dificultades para concentrarse y que cambiaron sus hábitos de ocio, ya que dejó de leer y pasó a ver más series y a usar más la computadora.  </w:t>
      </w:r>
    </w:p>
    <w:p>
      <w:pPr>
        <w:pStyle w:val="Normal"/>
        <w:spacing w:before="240" w:after="240"/>
        <w:ind w:left="708"/>
        <w:jc w:val="both"/>
        <w:rPr>
          <w:rFonts w:ascii="Times New Roman" w:hAnsi="Times New Roman" w:eastAsia="Times New Roman" w:cs="Times New Roman"/>
        </w:rPr>
      </w:pPr>
      <w:r>
        <w:rPr>
          <w:rFonts w:eastAsia="Times New Roman" w:cs="Times New Roman" w:ascii="Times New Roman" w:hAnsi="Times New Roman"/>
        </w:rPr>
        <w:t xml:space="preserve">«Me afectó la capacidad de leer, pero una banda. No pude leer nada en la pandemia. Lo que quería era solo ver series, algo así que me sacara, que no tuviera que estar concentrado. No quería ver como cercaban la General Paz y esas noticias. Así que la pandemia me dejó las series. Leer me sigue costando hasta ahora, quiero y no puedo» </w:t>
      </w:r>
    </w:p>
    <w:p>
      <w:pPr>
        <w:pStyle w:val="Normal"/>
        <w:spacing w:lineRule="auto" w:line="36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 aspecto muy importante en la vida de Diego es la militancia social. Es profesor de un bachillerato popular, ayuda a diferentes familias, y participa muy activamente en actividades solidarias. Durante la pandemia organizó ollas populares, juntó ropa, acercó bolsones de comida, se ocupó de los que se quedaban sin ingresos y ayudó a las familias para que accedieran a la vacunación en barrios populares. Su experiencia al recorrer las zonas más pobres, incluso dentro de la ciudad de Buenos Aires, le mostró que «la pandemia no era igual para todos, no daba lo mismo y no se puede aplicar todo lo mismo a la gente». En ese sentido, aunque militaba en ese período en un espacio del oficialismo su evaluación sobre cómo gestionó el gobierno la contención en la pandemia es bastante crítica. Considera que las escuelas deberían haber abierto antes y que muchas políticas no tenían en cuenta las diferentes realidades. </w:t>
      </w:r>
    </w:p>
    <w:p>
      <w:pPr>
        <w:pStyle w:val="Normal"/>
        <w:spacing w:lineRule="auto" w:line="36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Por último, para Diego la distancia con los seres queridos fue lo más difícil durante la etapa de aislamiento. En particular, los primeros meses de cuarentena fueron críticos porque al estar separado de la mamá de su hija, tuvo que pasar los primeros dos meses sin verla. </w:t>
      </w:r>
    </w:p>
    <w:p>
      <w:pPr>
        <w:pStyle w:val="Normal"/>
        <w:spacing w:before="240" w:after="240"/>
        <w:ind w:left="708"/>
        <w:jc w:val="both"/>
        <w:rPr>
          <w:rFonts w:ascii="Times New Roman" w:hAnsi="Times New Roman" w:eastAsia="Times New Roman" w:cs="Times New Roman"/>
        </w:rPr>
      </w:pPr>
      <w:r>
        <w:rPr>
          <w:rFonts w:eastAsia="Times New Roman" w:cs="Times New Roman" w:ascii="Times New Roman" w:hAnsi="Times New Roman"/>
        </w:rPr>
        <w:t xml:space="preserve">«Eso me afectó mucho, me cambió todo el ánimo. Estuve dos meses sin verla porque no había permiso para el traslado de hijos. No me había pasado antes de emocionarme. Ahora hablando me hiciste acordar y mirá…me emociona». </w:t>
      </w:r>
    </w:p>
    <w:p>
      <w:pPr>
        <w:pStyle w:val="Normal"/>
        <w:spacing w:lineRule="auto" w:line="360" w:before="240" w:after="24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 su madre, que por su edad estaba en el grupo de riesgo, no se podían ver y se organizaron entre los hermanos para llevarle las compras: «era una locura, la teníamos como en un cautiverio», dice, y se ríe. En las entrevistas notamos en muchas que aparecían recursos defensivos como la risa, tal vez una forma de tomar distancia con respecto a esas situaciones que durante la emergencia se naturalizaron y que, con el tiempo, se nos volvieron extrañas. Las videollamadas con su familia no conseguían reemplazar el contacto físico: «para el cumpleaños de mi vieja, todos llorando por Zoom, una mierda». </w:t>
      </w:r>
    </w:p>
    <w:p>
      <w:pPr>
        <w:pStyle w:val="Normal"/>
        <w:spacing w:lineRule="auto" w:line="360" w:before="240" w:after="240"/>
        <w:jc w:val="both"/>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La higiene urbana y el trabajo como elección: la historia de Horacio</w:t>
      </w:r>
    </w:p>
    <w:p>
      <w:pPr>
        <w:pStyle w:val="Normal"/>
        <w:spacing w:lineRule="auto" w:line="360" w:before="240" w:after="24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Horacio tiene 39 años, vive en la zona sur de la Ciudad de Buenos Aires. En la escuela secundaria recibió el título de técnico químico y después estudió en la universidad una Licenciatura en Información Ambiental, y también cursó un Diploma en Gestión de Residuos. En el año 2007 empezó a trabajar en una empresa de higiene urbana, asumiendo diferentes roles que tenían que ver con la supervisión de la limpieza y la auditoría de las normas de calidad y medio ambiente. Está en pareja hace varios años con un varón algo más joven que él, a quien conoció militando en un espacio LGTB. Su novio estaba estudiando una carrera universitaria durante la pandemia y uno de los cambios en sus vidas cotidianas fue que empezó a tener clases virtuales y cursaba en la casa donde conviven, pero cuenta que no fue problemático justamente porque él salía a trabajar. Con el inicio de la pandemia, en la empresa le dijeron que su trabajo podía realizarse a distancia, por lo cual podía quedarse en su casa, pero Horacio no quiso aislarse. Así lo cuenta: </w:t>
      </w:r>
    </w:p>
    <w:p>
      <w:pPr>
        <w:pStyle w:val="Normal"/>
        <w:spacing w:before="240" w:after="240"/>
        <w:ind w:left="708"/>
        <w:jc w:val="both"/>
        <w:rPr>
          <w:rFonts w:ascii="Times New Roman" w:hAnsi="Times New Roman" w:eastAsia="Times New Roman" w:cs="Times New Roman"/>
        </w:rPr>
      </w:pPr>
      <w:r>
        <w:rPr>
          <w:rFonts w:eastAsia="Times New Roman" w:cs="Times New Roman" w:ascii="Times New Roman" w:hAnsi="Times New Roman"/>
        </w:rPr>
        <w:t>«Mi jefe me agarra y me dice ‘mirá, vos no sos el tipo que saca los camiones a la calle…hacé lo que quieras, guardate’. Me dio libertad mi jefe. Si yo quería ir, que fuera; si no quería ir, que no fuera. Y yo no me aguanto en mi casa todo el día mirando Netflix, no puedo. No, no, no… no me da la cabeza. Entonces, yo seguí yendo, porque tenía la autorización para ir y aparte porque de repente en la empresa se borraron todos. Quedamos cuatro gatos locos para manejar todo.»</w:t>
      </w:r>
    </w:p>
    <w:p>
      <w:pPr>
        <w:pStyle w:val="Normal"/>
        <w:spacing w:lineRule="auto" w:line="360" w:before="240" w:after="24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su relato se destaca la decisión personal y la autonomía que tuvo para asumir la responsabilidad (y el riesgo) de trabajar en forma presencial. No fue una decisión impuesta, como resultó para la gran mayoría de los trabajadores de actividades consideradas esenciales. En la dinámica cotidiana de trabajo, la pandemia trajo consigo una serie de cambios y adaptaciones para la empresa, que afectaron su rol en particular: </w:t>
      </w:r>
    </w:p>
    <w:p>
      <w:pPr>
        <w:pStyle w:val="Normal"/>
        <w:spacing w:before="240" w:after="240"/>
        <w:ind w:left="708"/>
        <w:jc w:val="both"/>
        <w:rPr>
          <w:rFonts w:ascii="Times New Roman" w:hAnsi="Times New Roman" w:eastAsia="Times New Roman" w:cs="Times New Roman"/>
          <w:sz w:val="24"/>
          <w:szCs w:val="24"/>
        </w:rPr>
      </w:pPr>
      <w:r>
        <w:rPr>
          <w:rFonts w:eastAsia="Times New Roman" w:cs="Times New Roman" w:ascii="Times New Roman" w:hAnsi="Times New Roman"/>
        </w:rPr>
        <w:t>«Hay un antes de la pandemia y un después de la pandemia. Me cambiaron las responsabilidades. Como se fueron casi todos, pasé a ser jefe de los tres sistemas de gestión. Hasta el de sistemas se fue. Entonces hice de todo. El primer trabajo raro que me tocó fue ayudar en la contratación de gente, porque todos los de recursos humanos se borraron. Teníamos que contratar gente que reemplace a los que entraban en aislamiento porque tenían más de sesenta años o enfermedades preexistentes».</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Como eran menos trabajadores para resolver las tareas, aumentó su carga laboral y también sus responsabilidades. Esto implicó asumir nuevos roles y desafíos, de carácter técnico, logístico y organizativo, como la contratación de nuevo personal, la digitalización de procesos que antes se realizaban manualmente y la implementación de procesos inéditos de desinfección de las calles. Este fue uno de los desafíos más complejos que le tocó asumir. El Gobierno de la Ciudad solicitó a las empresas de higiene y recolección de residuos que pulverizaran con cloro las calles y veredas urbanas. </w:t>
      </w:r>
    </w:p>
    <w:p>
      <w:pPr>
        <w:pStyle w:val="Normal"/>
        <w:spacing w:before="240" w:after="240"/>
        <w:ind w:left="566"/>
        <w:jc w:val="both"/>
        <w:rPr>
          <w:rFonts w:ascii="Times New Roman" w:hAnsi="Times New Roman" w:eastAsia="Times New Roman" w:cs="Times New Roman"/>
        </w:rPr>
      </w:pPr>
      <w:r>
        <w:rPr>
          <w:rFonts w:eastAsia="Times New Roman" w:cs="Times New Roman" w:ascii="Times New Roman" w:hAnsi="Times New Roman"/>
        </w:rPr>
        <w:t xml:space="preserve">«Me tocó ponerme a clorar la ciudad. Yo no creía en eso, siempre me pareció cosa absurda. Pero bueno, había que hacerlo. Era una cuestión psicológica. El gobierno, que es el que paga la factura, nos pidió que salgamos a clorar toda la ciudad. Y hay que estar, para que carguen el cloro tenés que estar ahí. No lo hablás por teléfono. A la gente se la maneja de forma presencial. Me lo encajaron a mí. Estuve durante nueve meses cargando cloro». </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Nadie sabía bien qué nivel de cloro debía tener el agua de los tanques y era incluso un desafío logístico porque la mayoría de los materiales contenedores no resisten la exposición a altas concentraciones de cloro. Primero intentaron con tanques de cerveza de acero inoxidable, pero no resistieron. Probaron con otros elementos hasta que por fin dieron con una solución: bombas de pileta de plástico, ya que este material es inerte al cloro. En otra oportunidad, cuando el sindicato empezó a exigir que se les proveyera barbijos a los empleados, también fue Horacio quien tuvo que ocuparse:  </w:t>
      </w:r>
    </w:p>
    <w:p>
      <w:pPr>
        <w:pStyle w:val="Normal"/>
        <w:spacing w:before="240" w:after="240"/>
        <w:ind w:left="566"/>
        <w:jc w:val="both"/>
        <w:rPr>
          <w:rFonts w:ascii="Times New Roman" w:hAnsi="Times New Roman" w:eastAsia="Times New Roman" w:cs="Times New Roman"/>
          <w:sz w:val="24"/>
          <w:szCs w:val="24"/>
        </w:rPr>
      </w:pPr>
      <w:r>
        <w:rPr>
          <w:rFonts w:eastAsia="Times New Roman" w:cs="Times New Roman" w:ascii="Times New Roman" w:hAnsi="Times New Roman"/>
        </w:rPr>
        <w:t>«Hasta yo estaba buscando barbijos por las farmacias. Imposible porque todo para nosotros es en una escala enorme. Nosotros repartíamos mil barbijos por día. Necesitás treinta mil por mes. El jefe de compras estaba supuestamente aislado porque la mujer era de riesgo, entonces me tuve que ocupar yo también de eso.»</w:t>
      </w:r>
      <w:r>
        <w:rPr>
          <w:rFonts w:eastAsia="Times New Roman" w:cs="Times New Roman" w:ascii="Times New Roman" w:hAnsi="Times New Roman"/>
          <w:sz w:val="24"/>
          <w:szCs w:val="24"/>
        </w:rPr>
        <w:t xml:space="preserve"> </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Aunque en parte al escuchar su relato hay una dimensión épica y de satisfacción por haberse ocupado de diversos desafíos, Horacio también cuenta que estas nuevas responsabilidades no fueron acompañadas de un reconocimiento económico. Cada vez tenía más trabajo, más compromisos y debía ocuparse de muchas tareas en un contexto de incertidumbre y riesgos. Al seguir trabajando y en contacto con gente en forma cotidiana, estuvo muy cerca de los contagios. </w:t>
      </w:r>
    </w:p>
    <w:p>
      <w:pPr>
        <w:pStyle w:val="Normal"/>
        <w:spacing w:before="240" w:after="240"/>
        <w:ind w:left="566"/>
        <w:jc w:val="both"/>
        <w:rPr>
          <w:rFonts w:ascii="Times New Roman" w:hAnsi="Times New Roman" w:eastAsia="Times New Roman" w:cs="Times New Roman"/>
        </w:rPr>
      </w:pPr>
      <w:r>
        <w:rPr>
          <w:rFonts w:eastAsia="Times New Roman" w:cs="Times New Roman" w:ascii="Times New Roman" w:hAnsi="Times New Roman"/>
        </w:rPr>
        <w:t>«Durante la primera ola tuvimos casi 150 casos. En la segunda ola, que fue la peor, hubo también un montón de casos y fallecieron cinco compañeros. Fue más mortífera que la primera, te mataba directamente. Murieron cinco compañeros: dos que estaban aislados, que se lo agarraron en la vida, y tres que venían a trabajar»</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El miedo al contagio en el caso de Horacio no lo llevó a rehuir del trabajo presencial, al contrario, él eligió seguir trabajando y pidió ser considerado esencial. En su relato no enmarca esta decisión como un sacrificio heroico, sino que más bien lo presenta como una necesidad personal, pero sin dudas había una dimensión de altruismo en su personalidad, que se expresó también en su postulación como voluntario para el ensayo clínico de una vacuna:</w:t>
      </w:r>
    </w:p>
    <w:p>
      <w:pPr>
        <w:pStyle w:val="Normal"/>
        <w:spacing w:before="240" w:after="240"/>
        <w:ind w:left="566"/>
        <w:jc w:val="both"/>
        <w:rPr>
          <w:rFonts w:ascii="Times New Roman" w:hAnsi="Times New Roman" w:eastAsia="Times New Roman" w:cs="Times New Roman"/>
        </w:rPr>
      </w:pPr>
      <w:r>
        <w:rPr>
          <w:rFonts w:eastAsia="Times New Roman" w:cs="Times New Roman" w:ascii="Times New Roman" w:hAnsi="Times New Roman"/>
        </w:rPr>
        <w:t>«Me enteré por el diario, me anoté y me convocaron. Le dije a mis conocidos que se anotaran, nadie me dio bola, en el laburo me jodían, me decían que era un conejillo de indias. Pero bueno, yo fui, me vacunaron, pensé que me había tocado placebo pero no, fue la vacuna. Fue en octubre de 2020. Estoy contento por haber ayudado, era la Sinopharm y un tiempo después hubo dos millones de personas que se vacunaron en principio gracias a los que fuimos ahí, no por mandarme la parte, pero alguien lo tiene que hacer».</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el relato de la experiencia de Horacio, como vimos, asumió varias responsabilidades que lo pusieron en situaciones de mayor riesgo e incertidumbre. Sin embargo, tanto a nivel laboral como a nivel personal, la posibilidad de elegir y controlar esa exposición parece clave para que se constituyan como vivencias positivas. Si bien se anudan elementos de altruismo y solidaridad en las decisiones de seguir trabajando en forma presencial y ser voluntario para el ensayo de una vacuna, se destaca la autonomía como dimensión central.    </w:t>
      </w:r>
    </w:p>
    <w:p>
      <w:pPr>
        <w:pStyle w:val="Normal"/>
        <w:spacing w:lineRule="auto" w:line="360" w:before="240" w:after="24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Contrapunto acerca de las experiencias de los trabajadores esenciales</w:t>
      </w:r>
    </w:p>
    <w:p>
      <w:pPr>
        <w:pStyle w:val="Normal"/>
        <w:spacing w:lineRule="auto" w:line="360" w:before="240" w:after="24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 pandemia de COVID-19 trajo consigo transformaciones radicales -aunque transitorias- en el trabajo y la vida cotidiana, especialmente para aquellos considerados trabajadores esenciales. Las experiencias de Gabriel, Diego y Horacio muestran cómo, bajo circunstancias excepcionales, el trabajo en sectores críticos se convirtió en un espacio de mayor explotación, sobrecarga y riesgos elevados, revelando las tensiones entre las políticas de mitigación de contagios y su efectiva implementación. Cada sector de actividad tuvo sus particularidades y la forma en que estos sujetos atravesaron la pandemia desde la condición de trabajadores esenciales no deja de mostrar desigualdades y, como sostenemos en este libro, una gran heterogeneidad de experiencias. Sin embargo, y a pesar de las diferencias entre sus sectores de actividad —la salud, la producción de alimentos y la higiene urbana— hay algunos patrones comunes que nos permiten analizar estas experiencias en términos de precariedad, riesgo y adaptación.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Uno de los aspectos más evidentes que comparten los tres trabajadores cuyas historias reconstruimos es que padecieron la sobrecarga laboral, una consecuencia directa de la reducción del personal en sus lugares de trabajo. Los trabajadores esenciales tuvieron un aumento significativo en sus tareas y responsabilidades, ya que debían cubrir sus roles y los de aquellos que no estaban trabajando, ya fuera porque habían quedado aislados desde el comienzo por ser considerados de riesgo (por edad o enfermedades previas) o porque a raíz de contagiarse o ser contacto estrecho de un caso positivo, se aislaban por un período de quince días. Continuar trabajando implicó una carga más intensa tanto en el aspecto físico como emocional.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 riesgo de contagio fue una constante que marcó la vida cotidiana de estos trabajadores, en especial durante el primer año y hasta que fueron empezando a aplicarse las vacunas, que resultaron un alivio. Los tres fueron testigos cercanos de contagios y muertes en sus lugares de trabajo. Aun así, este factor fue quizás más pronunciado en Gabriel, el trabajador de la salud, que se sentía rodeado de muerte y constantemente en riesgo de contagiar a sus familiares. A pesar de las medidas de seguridad, el ambiente de exposición constante afectó profundamente su seguridad emocional.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cuanto a la autonomía para decidir si trabajar o no, solo a Horacio le dieron la opción de aislarse, y fue él quien eligió seguir trabajando. Tomando el conjunto de las entrevistas a trabajadores esenciales, en la mayoría de los casos no tuvieron la posibilidad de decidir si querían o no seguir trabajando en forma presencial. Si sus trabajos fueron declarados esenciales, tuvieron que seguir asistiendo, sin margen de negociación. Esta falta de autonomía se presenta también en la reconstrucción de historias de trabajadores informales o autoempleados, que no exploramos en este capítulo, y que revelan las tensiones de la precariedad laboral descritas por Robert Castel, donde el trabajador queda atrapado entre el deber y el riesgo, con escasa capacidad de decisión sobre su propia seguridad.</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Finalmente, las cargas de cuidado también impactaron de manera desigual en estos trabajadores. Quienes tenían hijos debieron enfrentar los desafíos de ser padres en un contexto de alta incertidumbre. Las restricciones para ver a sus hijos durante las primeras semanas de la cuarentena representaron una fuente de angustia emocional, desajustando sus rutinas familiares. Esto evidenció dos cuestiones: por un lado, las mujeres quedaron a cargo de los menores en la gran mayoría de los casos </w:t>
      </w:r>
      <w:r>
        <w:rPr>
          <w:rFonts w:cs="Times New Roman"/>
        </w:rPr>
        <w:t>–</w:t>
      </w:r>
      <w:r>
        <w:rPr>
          <w:rFonts w:eastAsia="Times New Roman" w:cs="Times New Roman" w:ascii="Times New Roman" w:hAnsi="Times New Roman"/>
          <w:sz w:val="24"/>
          <w:szCs w:val="24"/>
        </w:rPr>
        <w:t>mostrando la desigualdad en la distribución del trabajo de cuidado</w:t>
      </w:r>
      <w:r>
        <w:rPr>
          <w:rFonts w:cs="Times New Roman"/>
        </w:rPr>
        <w:t>–</w:t>
      </w:r>
      <w:r>
        <w:rPr>
          <w:rFonts w:eastAsia="Times New Roman" w:cs="Times New Roman" w:ascii="Times New Roman" w:hAnsi="Times New Roman"/>
          <w:sz w:val="24"/>
          <w:szCs w:val="24"/>
        </w:rPr>
        <w:t xml:space="preserve"> y, por otro lado, no se tuvo en cuenta al comienzo la necesidad de traslado de los menores con padres separados. Esto supuso una situación de lejanía y mayor soledad para los varones, exacerbando la fragilidad emocional en contextos de trabajo esencial.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Las emociones que emergen de estas narrativas revelan una tensión constante entre la necesidad de cumplir con el rol esencial y el miedo al contagio, el agotamiento físico y emocional, y la incertidumbre sobre el futuro. El entorno urbano desolado —las calles vacías descritas por todos— reflejan un paisaje distópico donde la vida cotidiana quedó suspendida. Para algunos de los trabajadores esenciales, seguir trabajando en forma presencial tenía una ambivalencia en tanto los exponía al contagio, pero al mismo tiempo les ofrecía un espacio de acción y control, trayendo consigo una sensación de orden en medio del caos. Así, el trabajo generó nuevas incertidumbres, alimentando una tensión entre la responsabilidad laboral y la protección familiar.</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resumen, la pandemia no solo alteró las rutinas laborales de los trabajadores esenciales, sino que los enfrentó a una serie de desafíos profesionales, logísticos, físicos y emocionales, marcados por la sobrecarga y el riesgo. A su vez, aunque siguieran yendo a trabajar y mantuvieran una cierta normalidad en sus rutinas, todos ellos manifestaron sentir efectos del aislamiento, ya que el resto de sus amigos o familiares estaban aislados, diversas actividades y espacios de recreación estaban cerrados, sus actividades formativas (si las tenían) habían pasado a la virtualidad. De este modo, se matizan las diferencias entre la experiencia de los trabajadores esenciales y los no esenciales, ya que en todos los casos se sintieron las consecuencias de las estrategias de aislamiento. </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mbria">
    <w:charset w:val="01"/>
    <w:family w:val="roman"/>
    <w:pitch w:val="variable"/>
  </w:font>
  <w:font w:name="Consolas">
    <w:charset w:val="01"/>
    <w:family w:val="roman"/>
    <w:pitch w:val="variable"/>
  </w:font>
  <w:font w:name="Tahoma">
    <w:charset w:val="01"/>
    <w:family w:val="roman"/>
    <w:pitch w:val="variable"/>
  </w:font>
  <w:font w:name="Liberation Sans">
    <w:altName w:val="Arial"/>
    <w:charset w:val="01"/>
    <w:family w:val="roman"/>
    <w:pitch w:val="variable"/>
  </w:font>
  <w:font w:name="Helvetica Neue">
    <w:charset w:val="01"/>
    <w:family w:val="roman"/>
    <w:pitch w:val="variable"/>
  </w:font>
  <w:font w:name="Times New Roman">
    <w:charset w:val="01"/>
    <w:family w:val="roman"/>
    <w:pitch w:val="variable"/>
  </w:font>
  <w:font w:name="Book Antiqua">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A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c0ed3"/>
    <w:pPr>
      <w:widowControl/>
      <w:suppressAutoHyphens w:val="true"/>
      <w:bidi w:val="0"/>
      <w:spacing w:lineRule="auto" w:line="276" w:before="0" w:after="0"/>
      <w:jc w:val="left"/>
    </w:pPr>
    <w:rPr>
      <w:rFonts w:ascii="Arial" w:hAnsi="Arial" w:eastAsia="Arial" w:cs="Arial"/>
      <w:color w:val="auto"/>
      <w:kern w:val="0"/>
      <w:sz w:val="22"/>
      <w:szCs w:val="22"/>
      <w:lang w:val="es-ES" w:eastAsia="es-AR" w:bidi="ar-SA"/>
    </w:rPr>
  </w:style>
  <w:style w:type="paragraph" w:styleId="Heading1">
    <w:name w:val="Heading 1"/>
    <w:basedOn w:val="Normal"/>
    <w:next w:val="Normal"/>
    <w:uiPriority w:val="9"/>
    <w:qFormat/>
    <w:rsid w:val="003c0ed3"/>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rsid w:val="003c0ed3"/>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rsid w:val="003c0ed3"/>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0ed3"/>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0ed3"/>
    <w:pPr>
      <w:keepNext w:val="true"/>
      <w:keepLines/>
      <w:spacing w:before="240" w:after="80"/>
      <w:outlineLvl w:val="4"/>
    </w:pPr>
    <w:rPr>
      <w:color w:val="666666"/>
    </w:rPr>
  </w:style>
  <w:style w:type="paragraph" w:styleId="Heading6">
    <w:name w:val="Heading 6"/>
    <w:basedOn w:val="Normal"/>
    <w:next w:val="Normal"/>
    <w:uiPriority w:val="9"/>
    <w:semiHidden/>
    <w:unhideWhenUsed/>
    <w:qFormat/>
    <w:rsid w:val="003c0ed3"/>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TextocomentarioCar" w:customStyle="1">
    <w:name w:val="Texto comentario Car"/>
    <w:basedOn w:val="DefaultParagraphFont"/>
    <w:uiPriority w:val="99"/>
    <w:qFormat/>
    <w:rsid w:val="003c0ed3"/>
    <w:rPr>
      <w:sz w:val="20"/>
      <w:szCs w:val="20"/>
    </w:rPr>
  </w:style>
  <w:style w:type="character" w:styleId="annotationreference">
    <w:name w:val="annotation reference"/>
    <w:basedOn w:val="DefaultParagraphFont"/>
    <w:uiPriority w:val="99"/>
    <w:semiHidden/>
    <w:unhideWhenUsed/>
    <w:qFormat/>
    <w:rsid w:val="003c0ed3"/>
    <w:rPr>
      <w:sz w:val="16"/>
      <w:szCs w:val="16"/>
    </w:rPr>
  </w:style>
  <w:style w:type="character" w:styleId="TextonotapieCar" w:customStyle="1">
    <w:name w:val="Texto nota pie Car"/>
    <w:basedOn w:val="DefaultParagraphFont"/>
    <w:uiPriority w:val="99"/>
    <w:semiHidden/>
    <w:qFormat/>
    <w:rsid w:val="00c32751"/>
    <w:rPr>
      <w:rFonts w:ascii="Cambria" w:hAnsi="Cambria" w:eastAsia="Cambria" w:cs="" w:asciiTheme="minorHAnsi" w:cstheme="minorBidi" w:eastAsiaTheme="minorHAnsi" w:hAnsiTheme="minorHAnsi"/>
      <w:kern w:val="2"/>
      <w:sz w:val="20"/>
      <w:szCs w:val="20"/>
      <w:lang w:val="es-AR" w:eastAsia="en-US"/>
    </w:rPr>
  </w:style>
  <w:style w:type="character" w:styleId="Caracteresdenotaalpie">
    <w:name w:val="Caracteres de nota al pie"/>
    <w:uiPriority w:val="99"/>
    <w:semiHidden/>
    <w:unhideWhenUsed/>
    <w:qFormat/>
    <w:rsid w:val="00c3275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32751"/>
    <w:rPr>
      <w:color w:themeColor="hyperlink" w:val="0000FF"/>
      <w:u w:val="single"/>
    </w:rPr>
  </w:style>
  <w:style w:type="character" w:styleId="Ninguno" w:customStyle="1">
    <w:name w:val="Ninguno"/>
    <w:qFormat/>
    <w:rsid w:val="0051730b"/>
    <w:rPr>
      <w:lang w:val="es-ES_tradnl"/>
    </w:rPr>
  </w:style>
  <w:style w:type="character" w:styleId="AsuntodelcomentarioCar" w:customStyle="1">
    <w:name w:val="Asunto del comentario Car"/>
    <w:basedOn w:val="TextocomentarioCar"/>
    <w:link w:val="annotationsubject"/>
    <w:uiPriority w:val="99"/>
    <w:semiHidden/>
    <w:qFormat/>
    <w:rsid w:val="00992b22"/>
    <w:rPr>
      <w:rFonts w:ascii="Cambria" w:hAnsi="Cambria" w:eastAsia="Cambria" w:cs="" w:asciiTheme="minorHAnsi" w:cstheme="minorBidi" w:eastAsiaTheme="minorHAnsi" w:hAnsiTheme="minorHAnsi"/>
      <w:b/>
      <w:bCs/>
      <w:sz w:val="20"/>
      <w:szCs w:val="20"/>
      <w:lang w:val="es-AR" w:eastAsia="en-US"/>
    </w:rPr>
  </w:style>
  <w:style w:type="character" w:styleId="TextosinformatoCar" w:customStyle="1">
    <w:name w:val="Texto sin formato Car"/>
    <w:basedOn w:val="DefaultParagraphFont"/>
    <w:link w:val="PlainText"/>
    <w:uiPriority w:val="99"/>
    <w:qFormat/>
    <w:rsid w:val="00992b22"/>
    <w:rPr>
      <w:rFonts w:ascii="Consolas" w:hAnsi="Consolas" w:eastAsia="Calibri" w:cs="Times New Roman"/>
      <w:sz w:val="21"/>
      <w:szCs w:val="21"/>
      <w:lang w:val="en-US" w:eastAsia="en-US"/>
    </w:rPr>
  </w:style>
  <w:style w:type="character" w:styleId="Emphasis">
    <w:name w:val="Emphasis"/>
    <w:basedOn w:val="DefaultParagraphFont"/>
    <w:uiPriority w:val="20"/>
    <w:qFormat/>
    <w:rsid w:val="00992b22"/>
    <w:rPr>
      <w:i/>
      <w:iCs/>
    </w:rPr>
  </w:style>
  <w:style w:type="character" w:styleId="Strong">
    <w:name w:val="Strong"/>
    <w:basedOn w:val="DefaultParagraphFont"/>
    <w:uiPriority w:val="22"/>
    <w:qFormat/>
    <w:rsid w:val="00992b22"/>
    <w:rPr>
      <w:b/>
      <w:bCs/>
    </w:rPr>
  </w:style>
  <w:style w:type="character" w:styleId="UnresolvedMention" w:customStyle="1">
    <w:name w:val="Unresolved Mention"/>
    <w:basedOn w:val="DefaultParagraphFont"/>
    <w:uiPriority w:val="99"/>
    <w:semiHidden/>
    <w:unhideWhenUsed/>
    <w:qFormat/>
    <w:rsid w:val="00992b22"/>
    <w:rPr>
      <w:color w:val="605E5C"/>
      <w:shd w:fill="E1DFDD" w:val="clear"/>
    </w:rPr>
  </w:style>
  <w:style w:type="character" w:styleId="Hyperlink0" w:customStyle="1">
    <w:name w:val="Hyperlink.0"/>
    <w:basedOn w:val="Ninguno"/>
    <w:qFormat/>
    <w:rsid w:val="00132e52"/>
    <w:rPr>
      <w:u w:val="single"/>
      <w:lang w:val="es-ES_tradnl"/>
    </w:rPr>
  </w:style>
  <w:style w:type="character" w:styleId="Hyperlink1" w:customStyle="1">
    <w:name w:val="Hyperlink.1"/>
    <w:basedOn w:val="Ninguno"/>
    <w:qFormat/>
    <w:rsid w:val="00132e52"/>
    <w:rPr>
      <w:color w:val="0000EE"/>
      <w:u w:val="single"/>
      <w:lang w:val="es-ES_tradnl"/>
    </w:rPr>
  </w:style>
  <w:style w:type="character" w:styleId="Hyperlink2" w:customStyle="1">
    <w:name w:val="Hyperlink.2"/>
    <w:basedOn w:val="DefaultParagraphFont"/>
    <w:qFormat/>
    <w:rsid w:val="00132e52"/>
    <w:rPr>
      <w:color w:val="000000"/>
      <w:u w:val="single" w:color="0000FF"/>
    </w:rPr>
  </w:style>
  <w:style w:type="character" w:styleId="TextodegloboCar" w:customStyle="1">
    <w:name w:val="Texto de globo Car"/>
    <w:basedOn w:val="DefaultParagraphFont"/>
    <w:link w:val="BalloonText"/>
    <w:uiPriority w:val="99"/>
    <w:semiHidden/>
    <w:qFormat/>
    <w:rsid w:val="00b17de0"/>
    <w:rPr>
      <w:rFonts w:ascii="Tahoma" w:hAnsi="Tahoma" w:cs="Tahoma"/>
      <w:sz w:val="16"/>
      <w:szCs w:val="16"/>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uiPriority w:val="10"/>
    <w:qFormat/>
    <w:rsid w:val="003c0ed3"/>
    <w:pPr>
      <w:keepNext w:val="true"/>
      <w:keepLines/>
      <w:spacing w:before="0" w:after="60"/>
    </w:pPr>
    <w:rPr>
      <w:sz w:val="52"/>
      <w:szCs w:val="52"/>
    </w:rPr>
  </w:style>
  <w:style w:type="paragraph" w:styleId="Subtitle">
    <w:name w:val="Subtitle"/>
    <w:basedOn w:val="Normal"/>
    <w:next w:val="Normal"/>
    <w:uiPriority w:val="11"/>
    <w:qFormat/>
    <w:rsid w:val="003c0ed3"/>
    <w:pPr>
      <w:keepNext w:val="true"/>
      <w:keepLines/>
      <w:spacing w:before="0" w:after="320"/>
    </w:pPr>
    <w:rPr>
      <w:color w:val="666666"/>
      <w:sz w:val="30"/>
      <w:szCs w:val="30"/>
    </w:rPr>
  </w:style>
  <w:style w:type="paragraph" w:styleId="AnnotationText">
    <w:name w:val="Annotation Text"/>
    <w:basedOn w:val="Normal"/>
    <w:link w:val="TextocomentarioCar"/>
    <w:uiPriority w:val="99"/>
    <w:unhideWhenUsed/>
    <w:rsid w:val="003c0ed3"/>
    <w:pPr>
      <w:spacing w:lineRule="auto" w:line="240"/>
    </w:pPr>
    <w:rPr>
      <w:sz w:val="20"/>
      <w:szCs w:val="20"/>
    </w:rPr>
  </w:style>
  <w:style w:type="paragraph" w:styleId="ListParagraph">
    <w:name w:val="List Paragraph"/>
    <w:basedOn w:val="Normal"/>
    <w:uiPriority w:val="34"/>
    <w:qFormat/>
    <w:rsid w:val="00c32751"/>
    <w:pPr>
      <w:spacing w:lineRule="auto" w:line="259" w:before="0" w:after="160"/>
      <w:ind w:left="720"/>
      <w:contextualSpacing/>
    </w:pPr>
    <w:rPr>
      <w:rFonts w:ascii="Cambria" w:hAnsi="Cambria" w:eastAsia="Cambria" w:cs="" w:asciiTheme="minorHAnsi" w:cstheme="minorBidi" w:eastAsiaTheme="minorHAnsi" w:hAnsiTheme="minorHAnsi"/>
      <w:kern w:val="2"/>
      <w:lang w:val="es-AR" w:eastAsia="en-US"/>
    </w:rPr>
  </w:style>
  <w:style w:type="paragraph" w:styleId="FootnoteText" w:customStyle="1">
    <w:name w:val="Footnote Text"/>
    <w:link w:val="TextonotapieCar"/>
    <w:rsid w:val="0051730b"/>
    <w:pPr>
      <w:widowControl/>
      <w:suppressAutoHyphens w:val="true"/>
      <w:bidi w:val="0"/>
      <w:spacing w:lineRule="auto" w:line="240" w:before="0" w:after="0"/>
      <w:jc w:val="left"/>
    </w:pPr>
    <w:rPr>
      <w:rFonts w:ascii="Helvetica Neue" w:hAnsi="Helvetica Neue" w:eastAsia="Helvetica Neue" w:cs="Helvetica Neue"/>
      <w:color w:val="000000"/>
      <w:kern w:val="0"/>
      <w:sz w:val="22"/>
      <w:szCs w:val="22"/>
      <w:lang w:val="es-AR" w:eastAsia="es-AR" w:bidi="ar-SA"/>
    </w:rPr>
  </w:style>
  <w:style w:type="paragraph" w:styleId="Cuerpo" w:customStyle="1">
    <w:name w:val="Cuerpo"/>
    <w:qFormat/>
    <w:rsid w:val="0051730b"/>
    <w:pPr>
      <w:widowControl/>
      <w:suppressAutoHyphens w:val="true"/>
      <w:bidi w:val="0"/>
      <w:spacing w:lineRule="auto" w:line="240" w:before="0" w:after="0"/>
      <w:jc w:val="left"/>
    </w:pPr>
    <w:rPr>
      <w:rFonts w:ascii="Times New Roman" w:hAnsi="Times New Roman" w:eastAsia="Arial Unicode MS" w:cs="Arial Unicode MS"/>
      <w:color w:val="000000"/>
      <w:kern w:val="0"/>
      <w:sz w:val="24"/>
      <w:szCs w:val="24"/>
      <w:u w:val="none" w:color="000000"/>
      <w:lang w:val="es-AR" w:eastAsia="es-AR" w:bidi="ar-SA"/>
    </w:rPr>
  </w:style>
  <w:style w:type="paragraph" w:styleId="Poromisin" w:customStyle="1">
    <w:name w:val="Por omisión"/>
    <w:qFormat/>
    <w:rsid w:val="0051730b"/>
    <w:pPr>
      <w:widowControl/>
      <w:suppressAutoHyphens w:val="true"/>
      <w:bidi w:val="0"/>
      <w:spacing w:lineRule="auto" w:line="240" w:before="0" w:after="0"/>
      <w:jc w:val="left"/>
    </w:pPr>
    <w:rPr>
      <w:rFonts w:ascii="Helvetica Neue" w:hAnsi="Helvetica Neue" w:eastAsia="Helvetica Neue" w:cs="Helvetica Neue"/>
      <w:color w:val="000000"/>
      <w:kern w:val="0"/>
      <w:sz w:val="22"/>
      <w:szCs w:val="22"/>
      <w:lang w:val="es-AR" w:eastAsia="es-AR" w:bidi="ar-SA"/>
    </w:rPr>
  </w:style>
  <w:style w:type="paragraph" w:styleId="Default" w:customStyle="1">
    <w:name w:val="Default"/>
    <w:qFormat/>
    <w:rsid w:val="00992b22"/>
    <w:pPr>
      <w:widowControl/>
      <w:suppressAutoHyphens w:val="true"/>
      <w:bidi w:val="0"/>
      <w:spacing w:lineRule="auto" w:line="240" w:before="0" w:after="0"/>
      <w:jc w:val="left"/>
    </w:pPr>
    <w:rPr>
      <w:rFonts w:ascii="Book Antiqua" w:hAnsi="Book Antiqua" w:eastAsia="Cambria" w:cs="Book Antiqua" w:eastAsiaTheme="minorHAnsi"/>
      <w:color w:val="000000"/>
      <w:kern w:val="0"/>
      <w:sz w:val="24"/>
      <w:szCs w:val="24"/>
      <w:lang w:val="es-AR" w:eastAsia="en-US" w:bidi="ar-SA"/>
    </w:rPr>
  </w:style>
  <w:style w:type="paragraph" w:styleId="annotationsubject">
    <w:name w:val="annotation subject"/>
    <w:basedOn w:val="AnnotationText"/>
    <w:next w:val="AnnotationText"/>
    <w:link w:val="AsuntodelcomentarioCar"/>
    <w:uiPriority w:val="99"/>
    <w:semiHidden/>
    <w:unhideWhenUsed/>
    <w:qFormat/>
    <w:rsid w:val="00992b22"/>
    <w:pPr>
      <w:spacing w:before="0" w:after="160"/>
    </w:pPr>
    <w:rPr>
      <w:rFonts w:ascii="Cambria" w:hAnsi="Cambria" w:eastAsia="Cambria" w:cs="" w:asciiTheme="minorHAnsi" w:cstheme="minorBidi" w:eastAsiaTheme="minorHAnsi" w:hAnsiTheme="minorHAnsi"/>
      <w:b/>
      <w:bCs/>
      <w:lang w:val="es-AR" w:eastAsia="en-US"/>
    </w:rPr>
  </w:style>
  <w:style w:type="paragraph" w:styleId="PlainText">
    <w:name w:val="Plain Text"/>
    <w:basedOn w:val="Normal"/>
    <w:link w:val="TextosinformatoCar"/>
    <w:uiPriority w:val="99"/>
    <w:unhideWhenUsed/>
    <w:qFormat/>
    <w:rsid w:val="00992b22"/>
    <w:pPr>
      <w:spacing w:lineRule="auto" w:line="240"/>
    </w:pPr>
    <w:rPr>
      <w:rFonts w:ascii="Consolas" w:hAnsi="Consolas" w:eastAsia="Calibri" w:cs="Times New Roman"/>
      <w:sz w:val="21"/>
      <w:szCs w:val="21"/>
      <w:lang w:val="en-US" w:eastAsia="en-US"/>
    </w:rPr>
  </w:style>
  <w:style w:type="paragraph" w:styleId="Revision">
    <w:name w:val="Revision"/>
    <w:uiPriority w:val="99"/>
    <w:semiHidden/>
    <w:qFormat/>
    <w:rsid w:val="00992b22"/>
    <w:pPr>
      <w:widowControl/>
      <w:suppressAutoHyphens w:val="true"/>
      <w:bidi w:val="0"/>
      <w:spacing w:lineRule="auto" w:line="240" w:before="0" w:after="0"/>
      <w:jc w:val="left"/>
    </w:pPr>
    <w:rPr>
      <w:rFonts w:ascii="Cambria" w:hAnsi="Cambria" w:eastAsia="Cambria" w:cs="" w:asciiTheme="minorHAnsi" w:cstheme="minorBidi" w:eastAsiaTheme="minorHAnsi" w:hAnsiTheme="minorHAnsi"/>
      <w:color w:val="auto"/>
      <w:kern w:val="0"/>
      <w:sz w:val="22"/>
      <w:szCs w:val="22"/>
      <w:lang w:val="es-AR" w:eastAsia="en-US" w:bidi="ar-SA"/>
    </w:rPr>
  </w:style>
  <w:style w:type="paragraph" w:styleId="BalloonText">
    <w:name w:val="Balloon Text"/>
    <w:basedOn w:val="Normal"/>
    <w:link w:val="TextodegloboCar"/>
    <w:uiPriority w:val="99"/>
    <w:semiHidden/>
    <w:unhideWhenUsed/>
    <w:qFormat/>
    <w:rsid w:val="00b17de0"/>
    <w:pPr>
      <w:spacing w:lineRule="auto" w:line="240"/>
    </w:pPr>
    <w:rPr>
      <w:rFonts w:ascii="Tahoma" w:hAnsi="Tahoma" w:cs="Tahoma"/>
      <w:sz w:val="16"/>
      <w:szCs w:val="16"/>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3c0ed3"/>
    <w:tblPr>
      <w:tblCellMar>
        <w:top w:w="0" w:type="dxa"/>
        <w:left w:w="0" w:type="dxa"/>
        <w:bottom w:w="0" w:type="dxa"/>
        <w:right w:w="0" w:type="dxa"/>
      </w:tblCellMar>
    </w:tblPr>
  </w:style>
  <w:style w:type="table" w:styleId="Tablaconcuadrcula">
    <w:name w:val="Table Grid"/>
    <w:basedOn w:val="Tablanormal"/>
    <w:uiPriority w:val="39"/>
    <w:rsid w:val="00c32751"/>
    <w:pPr>
      <w:spacing w:line="240" w:lineRule="auto"/>
    </w:pPr>
    <w:rPr>
      <w:rFonts w:asciiTheme="minorHAnsi" w:hAnsiTheme="minorHAnsi" w:eastAsiaTheme="minorHAnsi" w:cstheme="minorBidi"/>
      <w:lang w:val="es-AR"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F5AF3-8294-40A6-87AD-371033D9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Application>LibreOffice/24.2.7.2$Linux_X86_64 LibreOffice_project/420$Build-2</Application>
  <AppVersion>15.0000</AppVersion>
  <Pages>13</Pages>
  <Words>5562</Words>
  <Characters>28734</Characters>
  <CharactersWithSpaces>34286</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2026-06-08T18:46:00Z</dcterms:created>
  <dc:creator>user</dc:creator>
  <dc:description/>
  <dc:language>es-AR</dc:language>
  <cp:lastModifiedBy/>
  <dcterms:modified xsi:type="dcterms:W3CDTF">2026-09-16T17:16:04Z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