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pPr>
      <w:r>
        <w:rPr>
          <w:rFonts w:eastAsia="Times New Roman" w:cs="Times New Roman" w:ascii="Times New Roman" w:hAnsi="Times New Roman"/>
          <w:b/>
          <w:bCs/>
          <w:sz w:val="24"/>
          <w:szCs w:val="24"/>
        </w:rPr>
        <w:t>Cap06</w:t>
      </w:r>
    </w:p>
    <w:p>
      <w:pPr>
        <w:pStyle w:val="Normal"/>
        <w:spacing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Cuidar y descuidar: las personas mayores como grupo de riesgo</w:t>
      </w:r>
    </w:p>
    <w:p>
      <w:pPr>
        <w:pStyle w:val="Normal"/>
        <w:spacing w:lineRule="auto" w:line="360"/>
        <w:jc w:val="right"/>
        <w:rPr>
          <w:rFonts w:ascii="Times New Roman" w:hAnsi="Times New Roman" w:cs="Times New Roman"/>
          <w:b/>
          <w:bCs/>
          <w:sz w:val="24"/>
          <w:szCs w:val="24"/>
        </w:rPr>
      </w:pPr>
      <w:bookmarkStart w:id="0" w:name="_Hlk194651396"/>
      <w:bookmarkEnd w:id="0"/>
      <w:r>
        <w:rPr>
          <w:rFonts w:cs="Times New Roman" w:ascii="Times New Roman" w:hAnsi="Times New Roman"/>
          <w:b/>
          <w:bCs/>
          <w:sz w:val="24"/>
          <w:szCs w:val="24"/>
        </w:rPr>
        <w:t xml:space="preserve">Rosario Guzzo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bookmarkStart w:id="1" w:name="_Hlk194651396_Copia_1"/>
      <w:bookmarkStart w:id="2" w:name="_Hlk194651396_Copia_1"/>
      <w:bookmarkEnd w:id="2"/>
    </w:p>
    <w:p>
      <w:pPr>
        <w:pStyle w:val="Normal"/>
        <w:spacing w:lineRule="auto" w:line="360"/>
        <w:jc w:val="both"/>
        <w:rPr>
          <w:rFonts w:ascii="Times New Roman" w:hAnsi="Times New Roman" w:cs="Times New Roman"/>
          <w:sz w:val="24"/>
          <w:szCs w:val="24"/>
        </w:rPr>
      </w:pPr>
      <w:r>
        <w:rPr>
          <w:rFonts w:cs="Times New Roman" w:ascii="Times New Roman" w:hAnsi="Times New Roman"/>
          <w:b/>
          <w:bCs/>
          <w:sz w:val="24"/>
          <w:szCs w:val="24"/>
        </w:rPr>
        <w:t>Introducción</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La aparición del COVID planteó un escenario donde, junto con el virus, se propagaba también la incertidumbre. Sin curas ni vacunas, el aislamiento se presentaba como una estrategia efectiva para intentar contener la crisis sanitaria (Heid </w:t>
      </w:r>
      <w:r>
        <w:rPr>
          <w:rFonts w:cs="Times New Roman" w:ascii="Times New Roman" w:hAnsi="Times New Roman"/>
          <w:i/>
          <w:sz w:val="24"/>
          <w:szCs w:val="24"/>
        </w:rPr>
        <w:t>et al</w:t>
      </w:r>
      <w:r>
        <w:rPr>
          <w:rFonts w:cs="Times New Roman" w:ascii="Times New Roman" w:hAnsi="Times New Roman"/>
          <w:sz w:val="24"/>
          <w:szCs w:val="24"/>
        </w:rPr>
        <w:t xml:space="preserve">., 2021). Como parte de las medidas de prevención, algunos colectivos fueron identificados tempranamente como «grupos de riesgo», reconociéndolos en una condición de mayor vulnerabilidad e instándolos a extremar los cuidados. En Argentina, las personas mayores de 60 años se consideraron parte de estos grupos. Sin embargo, estas políticas no necesariamente fueron acompañadas de medidas que paliaran las complejidades de su instrumentación (Cirino </w:t>
      </w:r>
      <w:r>
        <w:rPr>
          <w:rFonts w:cs="Times New Roman" w:ascii="Times New Roman" w:hAnsi="Times New Roman"/>
          <w:i/>
          <w:sz w:val="24"/>
          <w:szCs w:val="24"/>
        </w:rPr>
        <w:t>et al</w:t>
      </w:r>
      <w:r>
        <w:rPr>
          <w:rFonts w:cs="Times New Roman" w:ascii="Times New Roman" w:hAnsi="Times New Roman"/>
          <w:sz w:val="24"/>
          <w:szCs w:val="24"/>
        </w:rPr>
        <w:t xml:space="preserve">., 2022). </w:t>
      </w:r>
      <w:bookmarkStart w:id="3" w:name="_Hlk194148350"/>
      <w:r>
        <w:rPr>
          <w:rFonts w:cs="Times New Roman" w:ascii="Times New Roman" w:hAnsi="Times New Roman"/>
          <w:sz w:val="24"/>
          <w:szCs w:val="24"/>
        </w:rPr>
        <w:t xml:space="preserve">En consecuencia, muchas personas mayores debieron recurrir a terceros para poder </w:t>
      </w:r>
      <w:bookmarkStart w:id="4" w:name="_Hlk194148387"/>
      <w:r>
        <w:rPr>
          <w:rFonts w:cs="Times New Roman" w:ascii="Times New Roman" w:hAnsi="Times New Roman"/>
          <w:sz w:val="24"/>
          <w:szCs w:val="24"/>
        </w:rPr>
        <w:t>gestionar tareas de su vida cotidiana que antes realizaban sin apoyos, aumentando su demanda de cuidados y pasando a encontrarse en una situación de dependencia</w:t>
      </w:r>
      <w:bookmarkEnd w:id="4"/>
      <w:r>
        <w:rPr>
          <w:rFonts w:cs="Times New Roman" w:ascii="Times New Roman" w:hAnsi="Times New Roman"/>
          <w:sz w:val="24"/>
          <w:szCs w:val="24"/>
        </w:rPr>
        <w:t>.</w:t>
      </w:r>
      <w:bookmarkEnd w:id="3"/>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En este marco, el presente capítulo se propone ahondar en algunas paradojas que supuso la experiencia de la pandemia para las personas mayores en tanto «grupo de riesgo». Para ello, apelando al enfoque biográfico, se reconstruirán las historias de tres personas mayores residentes en el AMBA sobre sus vivencias durante el aislamiento. Estas se organizarán de manera tal que recorran los momentos de inicio, desarrollo y finalización (marcada por las primeras salidas de la vivienda y la recomposición de actividades presenciales), a la vez que puedan reponer sintéticamente sus trayectorias biográficas y sus condiciones de vida durante el aislamiento. Asimismo, es importante señalar que en los tres casos se trata de personas que habitaban en viviendas propias y no en residencias de larga estadía (u otras instituciones).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A través de estas historias nos proponemos dar cuenta de </w:t>
      </w:r>
      <w:bookmarkStart w:id="5" w:name="_Hlk194148442"/>
      <w:r>
        <w:rPr>
          <w:rFonts w:cs="Times New Roman" w:ascii="Times New Roman" w:hAnsi="Times New Roman"/>
          <w:sz w:val="24"/>
          <w:szCs w:val="24"/>
        </w:rPr>
        <w:t>tensiones y desafíos que planteó el aislamiento y la necesidad de mayores cuidados para la preservación de la autonomía de estas personas</w:t>
      </w:r>
      <w:bookmarkEnd w:id="5"/>
      <w:r>
        <w:rPr>
          <w:rFonts w:cs="Times New Roman" w:ascii="Times New Roman" w:hAnsi="Times New Roman"/>
          <w:sz w:val="24"/>
          <w:szCs w:val="24"/>
        </w:rPr>
        <w:t>. Para responder a este interrogante nos interesará, en primer lugar, identificar las maneras como se redistribuyeron las tareas domésticas y de cuidado relativas a sus hogares. Esto supondrá reconocer en quiénes tendieron a recaer las cargas de cuidado y a través de qué acuerdos se estableció esa redistribución. En segundo lugar, intentaremos comprender qué significó para estas personas esa designación como grupo de riesgo y cómo ello pudo incidir en los sentidos que atribuían a su edad. En tercer lugar, considerando la importancia que tuvieron las tecnologías digitales para sostener prácticas y vínculos sociales, buscaremos caracterizar sus condiciones de acceso, uso y apropiación de estas tecnologías.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Finalmente, buscaremos reconocer algunas diferencias en las condiciones bajo las cuales atravesaron el aislamiento (en particular, en cuanto su clase social): Elvira, una mujer viuda de 67 años, sin inserción formal en el mercado laboral (sectores populares); Aníbal, un varón casado de 86 años, jubilado de la Marina Mercante (sectores medios); y Carlos, un varón casado de 66 años, que se desempeña como empresario (sectores medios-altos). Además, podremos señalar algunas diferencias relevantes en términos de género, edad cronológica, composición del hogar y capacidades funcionales.</w:t>
      </w:r>
    </w:p>
    <w:p>
      <w:pPr>
        <w:pStyle w:val="Normal"/>
        <w:spacing w:lineRule="auto" w:line="240"/>
        <w:rPr>
          <w:color w:val="000000"/>
          <w:sz w:val="24"/>
          <w:szCs w:val="24"/>
          <w:highlight w:val="yellow"/>
        </w:rPr>
      </w:pPr>
      <w:r>
        <w:rPr>
          <w:color w:val="000000"/>
          <w:sz w:val="24"/>
          <w:szCs w:val="24"/>
          <w:highlight w:val="yellow"/>
        </w:rPr>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Riesgo, autonomía y cuidados: claves para pensar el nuevo contexto</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En buena medida, la clasificación de las personas mayores como grupo de riesgo se hacía eco de los datos epidemiológicos que, tanto a nivel nacional (Ministerio de Salud, 2021) como internacional (CEPAL, 2020), registraban una mayor concentración de casos de enfermedad grave y muerte por COVID en este grupo de edad. Aun así, poco se sabía con certeza sobre los alcances y las consecuencias que este virus tenía para ellas (Heid </w:t>
      </w:r>
      <w:r>
        <w:rPr>
          <w:rFonts w:cs="Times New Roman" w:ascii="Times New Roman" w:hAnsi="Times New Roman"/>
          <w:i/>
          <w:sz w:val="24"/>
          <w:szCs w:val="24"/>
        </w:rPr>
        <w:t>et al</w:t>
      </w:r>
      <w:r>
        <w:rPr>
          <w:rFonts w:cs="Times New Roman" w:ascii="Times New Roman" w:hAnsi="Times New Roman"/>
          <w:sz w:val="24"/>
          <w:szCs w:val="24"/>
        </w:rPr>
        <w:t xml:space="preserve">., 2021; Cirino </w:t>
      </w:r>
      <w:r>
        <w:rPr>
          <w:rFonts w:cs="Times New Roman" w:ascii="Times New Roman" w:hAnsi="Times New Roman"/>
          <w:i/>
          <w:sz w:val="24"/>
          <w:szCs w:val="24"/>
        </w:rPr>
        <w:t>et al</w:t>
      </w:r>
      <w:r>
        <w:rPr>
          <w:rFonts w:cs="Times New Roman" w:ascii="Times New Roman" w:hAnsi="Times New Roman"/>
          <w:sz w:val="24"/>
          <w:szCs w:val="24"/>
        </w:rPr>
        <w:t xml:space="preserve">., 2022). En este contexto signado por la urgencia y el desconocimiento, la designación de las personas mayores bajo esa categoría se realizó de manera amplia, apelando como criterio principal a la edad cronológica; antes que apoyándose en fundamentos estrictamente biomédicos (tales como la presencia de enfermedades crónicas y condiciones preexistentes), como ocurría con otros grupos. De este modo, se asumía como fórmula general que, a mayor edad, mayor era el riesgo de enfermar.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Esta categorización</w:t>
      </w:r>
      <w:r>
        <w:rPr>
          <w:rFonts w:cs="Times New Roman" w:ascii="Times New Roman" w:hAnsi="Times New Roman"/>
          <w:color w:val="FF0000"/>
          <w:sz w:val="24"/>
          <w:szCs w:val="24"/>
        </w:rPr>
        <w:t xml:space="preserve"> </w:t>
      </w:r>
      <w:r>
        <w:rPr>
          <w:rFonts w:cs="Times New Roman" w:ascii="Times New Roman" w:hAnsi="Times New Roman"/>
          <w:sz w:val="24"/>
          <w:szCs w:val="24"/>
        </w:rPr>
        <w:t xml:space="preserve">fue objeto de diversas críticas, que advertían las limitaciones de sus presupuestos. En primer lugar, al centrarse en un criterio exclusivamente cronológico, se refería a las personas de 60 años y más como parte de un colectivo en gran medida homogéneo. Con ello, desestimaba la diversidad de condiciones de vida bajo las cuales transitaban la pandemia (referidas, por ejemplo, a las características de la vivienda, los recursos económicos y sus necesidades de cuidados), las cuales resultaban más decisivas para determinar la vulnerabilidad frente al virus que la edad en sí misma (CEPAL, 2020). Como resultado, se pasaba por alto que no todas las personas mayores se enfrentaban a los mismos problemas ni contaban con los mismos recursos para afrontarlos. En segundo lugar, desconociendo esa heterogeneidad, establecía una relación lineal entre vejez y enfermedad. Ello reavivaba estereotipos negativos largamente arraigados sobre la vejez y el envejecimiento, según los cuales estos son vistos como patologías (Cunzolo y Rada Schultze, 2021). En tercer lugar, al concebir el riesgo como un atributo de las personas antes que como un emergente de sus condiciones de vida, conllevaba un llamado a la responsabilidad individual como principal mecanismo de respuesta frente a la crisis. Las políticas que siguen esta orientación tienden a poner un acento mayor en la proactividad de las personas que en el rol protector del Estado. En línea con ello </w:t>
      </w:r>
      <w:r>
        <w:rPr>
          <w:rFonts w:cs="Times New Roman"/>
        </w:rPr>
        <w:t>–</w:t>
      </w:r>
      <w:r>
        <w:rPr>
          <w:rFonts w:cs="Times New Roman" w:ascii="Times New Roman" w:hAnsi="Times New Roman"/>
          <w:sz w:val="24"/>
          <w:szCs w:val="24"/>
        </w:rPr>
        <w:t>y en un marco de conocimientos y recursos limitados</w:t>
      </w:r>
      <w:r>
        <w:rPr>
          <w:rFonts w:cs="Times New Roman"/>
        </w:rPr>
        <w:t>–</w:t>
      </w:r>
      <w:r>
        <w:rPr>
          <w:rFonts w:cs="Times New Roman" w:ascii="Times New Roman" w:hAnsi="Times New Roman"/>
          <w:sz w:val="24"/>
          <w:szCs w:val="24"/>
        </w:rPr>
        <w:t xml:space="preserve"> la necesidad de reforzar el autocuidado no necesariamente fue acompañada de mecanismos que garantizaran la protección de los derechos de las personas mayores (Venturiello et al., 2023).</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Esta particular forma de presentar el riesgo social como un atributo individual puede inscribirse dentro de una concepción más amplia sobre las relaciones entre autonomía y dependencia. Tradicionalmente la dependencia ha sido definida como un estado de carencia, en el que se reconoce a aquellos individuos que, por presentar determinadas condiciones físicas (consideradas como deficientes o anormales, por contraposición con un tipo ideal de funcionamiento de los cuerpos), no pueden llevar adelante por sí mismos una o varias actividades de la vida cotidiana, debiendo requerir el cuidado de otros (Aguirre Cuns y Scavino Solari, 2018). Desde esta perspectiva, dependencia se equipara con pérdida de autonomía personal, entendida esta última como autosuficiencia o capacidad de hacer todo por uno mismo, asumiendo también un fuerte énfasis en la dimensión física o biológica (Cerri, 2016). Sin embargo, esta forma de definir el binomio autonomía-dependencia ha sido ampliamente cuestionada. Estas críticas se han orientado a señalar que la dependencia y la vulnerabilidad, lejos de ser condiciones patológicas o anormales, son constitutivas del ser humano y no pueden definirse de manera individual, sino en el marco de condiciones y relaciones sociales. Por esa razón, proponen reemplazar la noción de autonomía personal por la de autonomía relacional (Cerri, 2016). Bajo este nuevo enfoque, la autonomía o independencia es entendida de forma amplia </w:t>
      </w:r>
      <w:r>
        <w:rPr>
          <w:rFonts w:cs="Times New Roman"/>
        </w:rPr>
        <w:t>–</w:t>
      </w:r>
      <w:r>
        <w:rPr>
          <w:rFonts w:cs="Times New Roman" w:ascii="Times New Roman" w:hAnsi="Times New Roman"/>
          <w:sz w:val="24"/>
          <w:szCs w:val="24"/>
        </w:rPr>
        <w:t xml:space="preserve">como un concepto paraguas que engloba, entre otras cuestiones, la autodeterminación, la autoestima, el propósito en la vida y la continuidad de yo (Smith </w:t>
      </w:r>
      <w:r>
        <w:rPr>
          <w:rFonts w:cs="Times New Roman" w:ascii="Times New Roman" w:hAnsi="Times New Roman"/>
          <w:i/>
          <w:sz w:val="24"/>
          <w:szCs w:val="24"/>
        </w:rPr>
        <w:t>et al</w:t>
      </w:r>
      <w:r>
        <w:rPr>
          <w:rFonts w:cs="Times New Roman" w:ascii="Times New Roman" w:hAnsi="Times New Roman"/>
          <w:sz w:val="24"/>
          <w:szCs w:val="24"/>
        </w:rPr>
        <w:t>., 2007)</w:t>
      </w:r>
      <w:r>
        <w:rPr>
          <w:rFonts w:cs="Times New Roman"/>
        </w:rPr>
        <w:t>–</w:t>
      </w:r>
      <w:r>
        <w:rPr>
          <w:rFonts w:cs="Times New Roman" w:ascii="Times New Roman" w:hAnsi="Times New Roman"/>
          <w:sz w:val="24"/>
          <w:szCs w:val="24"/>
        </w:rPr>
        <w:t xml:space="preserve"> y, para realizarse, requiere de las interdependencias con otros. De esta forma, se corre el foco de la persona “dependiente” para «contemplar a la red de cuidadores y cuidados de manera simultánea, visibilizando las tensiones o conflictos presentes y estimulando un abordaje integral del problema» (Aguirre Cuns y Scavino Scolari, 2018, p. 146).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Como queda en evidencia, en el centro de estas reflexiones se encuentra la noción de cuidado. El cuidado refiere a la provisión cotidiana indispensable de bienestar físico y afectivo, que tiene lugar no solo en la infancia y en la vejez sino a lo largo de todo el curso de la vida (Batthyány, 2021). Ahora bien, la distribución de las responsabilidades sociales y los costos asociados a este conforma una problemática persistente. La organización social del cuidado ha sido definida como un diamante, integrado por cuatro agentes principales: el Estado, el mercado, la familia y la comunidad. El Estado provee bienestar a través de bienes, servicios y transferencias públicas; el mercado, mediante su comercialización; la familia, recurriendo a la reciprocidad de los lazos de parentesco; y la comunidad, a partir de prácticas heterogéneas (de límites difusos) que se despliegan por fuera de la familia nuclear (Vega-Solís y Martínez-Buján, 2017). En la misma línea, la noción de redes de cuidado ha permitido observar los encadenamientos múltiples y dinámicos de responsabilidades y tareas que se traman entre estos agentes para proveer cuidado (Batthyány, 2021).</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No obstante, contrariamente a lo que sugiere la figura del diamante, la relación entre esos vértices no ha sido equilibrada (Ceminari y Stolkiner, 2018). En un contexto regional donde las políticas que organizan esa distribución han sido «relativamente recientes y escasas» (Rico y Robles, 2016, p. 28), las mayores cargas de cuidado han tendido a recaer sobre las familias (familiarización) y sobre las mujeres (feminización) (Vega-Solís y Martínez-Buján, 2017; Batthyány, 2021; Boniolo y Ojeda, 2024). En estos regímenes, las mayores responsabilidades sobre el bienestar se derivan en los hogares, antes que hacia las instituciones públicas y privadas (como ocurre en los regímenes desfamiliarizadores). En consecuencia, se afirma que operan bajo el supuesto de que «las familias nunca ‘fallan’» (López y Findling, 2009, p. 27). Investigaciones situadas en la pandemia indican que los déficits propios de este tipo de régimen se agravaron durante ese contexto, profundizando la crisis de los cuidados y las desigualdades sociales previas asociadas a ellos (Moguillansky y Duek, 2024; Boniolo y Ojeda, 2024).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La distribución desigual de las cargas de cuidado conforma un “círculo vicioso” con las desigualdades sociales, especialmente aquellas relativas a la clase social y al género (Batthyány, 2021). Así, mientras que los sectores de mayores recursos tienen la posibilidad de adquirir servicios de cuidado mercantilizados de calidad, los de menores recursos (que tienen, además, mayores cargas de cuidado) acumulan una serie de desventajas: por un mayor peso de las tareas domésticas, por las dificultades para acceder a servicios públicos de cuidado y por la necesidad de acudir a cuidadoras informales. Conforme sugieren Boniolo y Ojeda (2024), durante el aislamiento, la suspensión del trabajo doméstico remunerado y de la ayuda de familiares no convivientes hizo que la sobrecarga de cuidados en los hogares fuera todavía mayor. Según las autoras, si bien fueron las mujeres quienes tendieron a asumir esa sobrecarga </w:t>
      </w:r>
      <w:r>
        <w:rPr>
          <w:rFonts w:cs="Times New Roman"/>
        </w:rPr>
        <w:t>–</w:t>
      </w:r>
      <w:r>
        <w:rPr>
          <w:rFonts w:cs="Times New Roman" w:ascii="Times New Roman" w:hAnsi="Times New Roman"/>
          <w:sz w:val="24"/>
          <w:szCs w:val="24"/>
        </w:rPr>
        <w:t>reforzando desigualdades de género previas</w:t>
      </w:r>
      <w:r>
        <w:rPr>
          <w:rFonts w:cs="Times New Roman"/>
        </w:rPr>
        <w:t>–</w:t>
      </w:r>
      <w:r>
        <w:rPr>
          <w:rFonts w:cs="Times New Roman" w:ascii="Times New Roman" w:hAnsi="Times New Roman"/>
          <w:sz w:val="24"/>
          <w:szCs w:val="24"/>
        </w:rPr>
        <w:t xml:space="preserve"> esto asumió diferentes matices según su clase social.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Las intersecciones entre las nociones de riesgo, autonomía y cuidado ofrecen coordenadas para examinar las experiencias que las personas mayores tuvieron del aislamiento, atendiendo a su complejidad. A continuación, emplearemos este prisma para abordar las historias de Elvira, Aníbal y Carlos, reconociendo cómo en cada una de ellas se presentaron estas tensiones.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b/>
          <w:bCs/>
          <w:i/>
          <w:i/>
          <w:iCs/>
          <w:sz w:val="24"/>
          <w:szCs w:val="24"/>
        </w:rPr>
      </w:pPr>
      <w:r>
        <w:rPr>
          <w:rFonts w:cs="Times New Roman" w:ascii="Times New Roman" w:hAnsi="Times New Roman"/>
          <w:b/>
          <w:bCs/>
          <w:i/>
          <w:iCs/>
          <w:sz w:val="24"/>
          <w:szCs w:val="24"/>
        </w:rPr>
        <w:t xml:space="preserve">Elvira: acompañarse a través de ventanas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Para marzo del 2020 Elvira llevaba 56 viviendo en Villa Alba, un barrio popular de la periferia de la ciudad de La Plata. Durante su infancia, contribuyó con la actividad familiar de cría de animales para la venta, lo que le impidió completar su formación en la escuela primaria: «Estudiar, la primaria no la terminé. En esos tiempos… uno vivía acá en el medio del campo, que tenía que cuidar los animales, así que… Aprendí hasta tercer, cuarto grado. Pero después ya no, no… no hubo más escuela</w:t>
      </w:r>
      <w:r>
        <w:rPr>
          <w:rFonts w:cs="IBMPlexSerif" w:ascii="IBMPlexSerif" w:hAnsi="IBMPlexSerif"/>
        </w:rPr>
        <w:t>».</w:t>
      </w:r>
      <w:r>
        <w:rPr>
          <w:rFonts w:cs="Times New Roman" w:ascii="Times New Roman" w:hAnsi="Times New Roman"/>
          <w:sz w:val="24"/>
          <w:szCs w:val="24"/>
        </w:rPr>
        <w:t xml:space="preserve"> Percibía una jubilación con haberes mínimos, a la que solo pudo acceder </w:t>
      </w:r>
      <w:r>
        <w:rPr>
          <w:rFonts w:cs="Times New Roman"/>
        </w:rPr>
        <w:t>–</w:t>
      </w:r>
      <w:r>
        <w:rPr>
          <w:rFonts w:cs="Times New Roman" w:ascii="Times New Roman" w:hAnsi="Times New Roman"/>
          <w:sz w:val="24"/>
          <w:szCs w:val="24"/>
        </w:rPr>
        <w:t xml:space="preserve">como muchas mujeres mayores en Argentina (Venturiello </w:t>
      </w:r>
      <w:r>
        <w:rPr>
          <w:rFonts w:cs="Times New Roman" w:ascii="Times New Roman" w:hAnsi="Times New Roman"/>
          <w:i/>
          <w:sz w:val="24"/>
          <w:szCs w:val="24"/>
        </w:rPr>
        <w:t>et al</w:t>
      </w:r>
      <w:r>
        <w:rPr>
          <w:rFonts w:cs="Times New Roman" w:ascii="Times New Roman" w:hAnsi="Times New Roman"/>
          <w:sz w:val="24"/>
          <w:szCs w:val="24"/>
        </w:rPr>
        <w:t>., 2023)</w:t>
      </w:r>
      <w:r>
        <w:rPr>
          <w:rFonts w:cs="Times New Roman"/>
        </w:rPr>
        <w:t xml:space="preserve"> –</w:t>
      </w:r>
      <w:r>
        <w:rPr>
          <w:rFonts w:cs="Times New Roman" w:ascii="Times New Roman" w:hAnsi="Times New Roman"/>
          <w:sz w:val="24"/>
          <w:szCs w:val="24"/>
        </w:rPr>
        <w:t xml:space="preserve"> mediante la política de reconocimiento de aportes por tareas de cuidado.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Antes de la pandemia, Elvira se hacía cargo sola de todas las tareas domésticas y gestiones de su hogar. Si bien no convivía con sus familiares, ellos residían muy cerca. El terreno de su casa limitaba por el fondo con las viviendas de su hijo, su nieto y su nieta (incluso hasta hacía poco habían compartido el patio), a la vez que su hija vivía también a pocas cuadras, por lo que la circulación entre los hogares era cotidiana y constante. En este sentido, Elvira explicaba que </w:t>
      </w:r>
      <w:r>
        <w:rPr>
          <w:rFonts w:cs="IBMPlexSerif" w:ascii="IBMPlexSerif" w:hAnsi="IBMPlexSerif"/>
        </w:rPr>
        <w:t>«</w:t>
      </w:r>
      <w:r>
        <w:rPr>
          <w:rFonts w:cs="Times New Roman" w:ascii="Times New Roman" w:hAnsi="Times New Roman"/>
          <w:sz w:val="24"/>
          <w:szCs w:val="24"/>
        </w:rPr>
        <w:t>yo muchas veces le digo, decir “vivo sola”, pero realmente estoy siempre acompañada</w:t>
      </w:r>
      <w:r>
        <w:rPr>
          <w:rFonts w:cs="IBMPlexSerif" w:ascii="IBMPlexSerif" w:hAnsi="IBMPlexSerif"/>
        </w:rPr>
        <w:t>»</w:t>
      </w:r>
      <w:r>
        <w:rPr>
          <w:rFonts w:cs="Times New Roman" w:ascii="Times New Roman" w:hAnsi="Times New Roman"/>
          <w:sz w:val="24"/>
          <w:szCs w:val="24"/>
        </w:rPr>
        <w:t>.</w:t>
      </w:r>
    </w:p>
    <w:p>
      <w:pPr>
        <w:pStyle w:val="Normal"/>
        <w:spacing w:lineRule="auto" w:line="360"/>
        <w:ind w:firstLine="284"/>
        <w:jc w:val="both"/>
        <w:rPr>
          <w:rFonts w:ascii="Times New Roman" w:hAnsi="Times New Roman" w:cs="Times New Roman"/>
          <w:sz w:val="24"/>
          <w:szCs w:val="24"/>
        </w:rPr>
      </w:pPr>
      <w:r>
        <w:rPr>
          <w:rFonts w:cs="Times New Roman" w:ascii="Times New Roman" w:hAnsi="Times New Roman"/>
          <w:sz w:val="24"/>
          <w:szCs w:val="24"/>
        </w:rPr>
        <w:t>Esa dinámica, sin embargo, se vio interrumpida durante la pandemia. Elvira pasó muchos meses sin visitar a sus familiares ni recibirlos dentro de su casa. Para ella esto significó pasar de “estar acompañada” a “estar sola”. Así lo relataba en una escena donde, en contraste entre la proximidad y la distancia, contaba cómo sus bisnietos de 9 años se acercaban a saludarla a través de la ventana de su casa:</w:t>
      </w:r>
    </w:p>
    <w:p>
      <w:pPr>
        <w:pStyle w:val="Normal"/>
        <w:spacing w:lineRule="auto" w:line="360"/>
        <w:ind w:firstLine="284"/>
        <w:jc w:val="both"/>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7938" w:leader="none"/>
        </w:tabs>
        <w:spacing w:lineRule="auto" w:line="240"/>
        <w:ind w:left="567" w:right="284"/>
        <w:jc w:val="both"/>
        <w:rPr>
          <w:rFonts w:ascii="Times New Roman" w:hAnsi="Times New Roman"/>
        </w:rPr>
      </w:pPr>
      <w:r>
        <w:rPr>
          <w:rFonts w:cs="Times New Roman" w:ascii="Times New Roman" w:hAnsi="Times New Roman"/>
        </w:rPr>
        <w:t>«</w:t>
      </w:r>
      <w:r>
        <w:rPr>
          <w:rFonts w:ascii="Times New Roman" w:hAnsi="Times New Roman"/>
        </w:rPr>
        <w:t>R: En ese momento no venía nadie. Estaba prácticamente sola. Veía a los chicos, sí, que estaban del otro lado de la ventana. Por ahí venían y me saludaban así [</w:t>
      </w:r>
      <w:r>
        <w:rPr>
          <w:rFonts w:ascii="Times New Roman" w:hAnsi="Times New Roman"/>
          <w:i/>
          <w:iCs/>
        </w:rPr>
        <w:t>hace un gesto con la mano, risas</w:t>
      </w:r>
      <w:r>
        <w:rPr>
          <w:rFonts w:ascii="Times New Roman" w:hAnsi="Times New Roman"/>
        </w:rPr>
        <w:t>]</w:t>
      </w:r>
    </w:p>
    <w:p>
      <w:pPr>
        <w:pStyle w:val="PlainText"/>
        <w:tabs>
          <w:tab w:val="clear" w:pos="720"/>
          <w:tab w:val="left" w:pos="7938" w:leader="none"/>
        </w:tabs>
        <w:ind w:left="567" w:right="284"/>
        <w:jc w:val="both"/>
        <w:rPr>
          <w:rFonts w:ascii="Times New Roman" w:hAnsi="Times New Roman"/>
          <w:sz w:val="22"/>
          <w:szCs w:val="22"/>
          <w:lang w:val="es-AR"/>
        </w:rPr>
      </w:pPr>
      <w:r>
        <w:rPr>
          <w:rFonts w:ascii="Times New Roman" w:hAnsi="Times New Roman"/>
          <w:sz w:val="22"/>
          <w:szCs w:val="22"/>
          <w:lang w:val="es-AR"/>
        </w:rPr>
        <w:t>P: Desde afuera.</w:t>
      </w:r>
    </w:p>
    <w:p>
      <w:pPr>
        <w:pStyle w:val="PlainText"/>
        <w:tabs>
          <w:tab w:val="clear" w:pos="720"/>
          <w:tab w:val="left" w:pos="7938" w:leader="none"/>
        </w:tabs>
        <w:spacing w:before="0" w:after="120"/>
        <w:ind w:left="567" w:right="284"/>
        <w:jc w:val="both"/>
        <w:rPr>
          <w:rFonts w:ascii="Times New Roman" w:hAnsi="Times New Roman"/>
          <w:sz w:val="22"/>
          <w:szCs w:val="22"/>
          <w:lang w:val="es-AR"/>
        </w:rPr>
      </w:pPr>
      <w:r>
        <w:rPr>
          <w:rFonts w:ascii="Times New Roman" w:hAnsi="Times New Roman"/>
          <w:sz w:val="22"/>
          <w:szCs w:val="22"/>
          <w:lang w:val="es-AR"/>
        </w:rPr>
        <w:t>R: Desde afuera. Y hasta los nietos, porque preguntaban “¿por qué no puedo ir a ver a la abuela?” (…) De repente no estar ya en contacto era… era terrible. Y me daba gracia porque en ese trayecto nosotros habíamos alambrado. Habíamos puesto un tejido, en casa con el de mi nieta, de mi casa para dividir el de mi nieta. Y los chicos estaban del otro lado, y ellos me decían “abuela, cuando saques el tejido, ¿vamos a poder ir para tu casa?” [</w:t>
      </w:r>
      <w:r>
        <w:rPr>
          <w:rFonts w:ascii="Times New Roman" w:hAnsi="Times New Roman"/>
          <w:i/>
          <w:iCs/>
          <w:sz w:val="22"/>
          <w:szCs w:val="22"/>
          <w:lang w:val="es-AR"/>
        </w:rPr>
        <w:t>Ríe</w:t>
      </w:r>
      <w:r>
        <w:rPr>
          <w:rFonts w:ascii="Times New Roman" w:hAnsi="Times New Roman"/>
          <w:sz w:val="22"/>
          <w:szCs w:val="22"/>
          <w:lang w:val="es-AR"/>
        </w:rPr>
        <w:t>] “¿No va a estar más el bicho?” decían. Me daba gracia. [</w:t>
      </w:r>
      <w:r>
        <w:rPr>
          <w:rFonts w:ascii="Times New Roman" w:hAnsi="Times New Roman"/>
          <w:i/>
          <w:iCs/>
          <w:sz w:val="22"/>
          <w:szCs w:val="22"/>
          <w:lang w:val="es-AR"/>
        </w:rPr>
        <w:t>Susurrando</w:t>
      </w:r>
      <w:r>
        <w:rPr>
          <w:rFonts w:ascii="Times New Roman" w:hAnsi="Times New Roman"/>
          <w:sz w:val="22"/>
          <w:szCs w:val="22"/>
          <w:lang w:val="es-AR"/>
        </w:rPr>
        <w:t>] Ellos lo toman así».</w:t>
      </w:r>
    </w:p>
    <w:p>
      <w:pPr>
        <w:pStyle w:val="PlainText"/>
        <w:tabs>
          <w:tab w:val="clear" w:pos="720"/>
          <w:tab w:val="left" w:pos="7938" w:leader="none"/>
        </w:tabs>
        <w:spacing w:before="0" w:after="120"/>
        <w:ind w:left="284" w:right="284"/>
        <w:jc w:val="both"/>
        <w:rPr>
          <w:rFonts w:ascii="Times New Roman" w:hAnsi="Times New Roman"/>
          <w:sz w:val="22"/>
          <w:szCs w:val="22"/>
          <w:lang w:val="es-AR"/>
        </w:rPr>
      </w:pPr>
      <w:r>
        <w:rPr>
          <w:rFonts w:ascii="Times New Roman" w:hAnsi="Times New Roman"/>
          <w:sz w:val="22"/>
          <w:szCs w:val="22"/>
          <w:lang w:val="es-AR"/>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Durante el aislamiento, Elvira debió recurrir al apoyo de sus familiares </w:t>
      </w:r>
      <w:r>
        <w:rPr>
          <w:rFonts w:cs="Times New Roman"/>
        </w:rPr>
        <w:t>–</w:t>
      </w:r>
      <w:r>
        <w:rPr>
          <w:rFonts w:cs="Times New Roman" w:ascii="Times New Roman" w:hAnsi="Times New Roman"/>
          <w:sz w:val="24"/>
          <w:szCs w:val="24"/>
        </w:rPr>
        <w:t>especialmente de su hija</w:t>
      </w:r>
      <w:r>
        <w:rPr>
          <w:rFonts w:cs="Times New Roman"/>
        </w:rPr>
        <w:t>–</w:t>
      </w:r>
      <w:r>
        <w:rPr>
          <w:rFonts w:cs="Times New Roman" w:ascii="Times New Roman" w:hAnsi="Times New Roman"/>
          <w:sz w:val="24"/>
          <w:szCs w:val="24"/>
        </w:rPr>
        <w:t xml:space="preserve"> para gestionar las compras de su hogar. Esto permite introducir una característica distintiva que tuvo la experiencia de la pandemia para las personas mayores, en tanto “grupo de riesgo”: la tensión entre el cuidado (en particular de su salud física) y la pérdida de su autonomía.</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120"/>
        <w:ind w:left="567" w:right="284"/>
        <w:jc w:val="both"/>
        <w:rPr>
          <w:rFonts w:ascii="Times New Roman" w:hAnsi="Times New Roman" w:cs="Times New Roman"/>
        </w:rPr>
      </w:pPr>
      <w:r>
        <w:rPr>
          <w:rFonts w:cs="Times New Roman" w:ascii="Times New Roman" w:hAnsi="Times New Roman"/>
        </w:rPr>
        <w:t xml:space="preserve">«De repente, venir y… Mi hija me dice “mami, no podés salir”, “¿cómo que no puedo salir?”, “no tenés que salir, no tenés que recibir a nadie, nosotros no vamos a venir tampoco, te vamos a alcanzar todo en la puerta” Ay… Bueno. Por ahí no entendía, hasta que empecé a sentir las noticias… Pero bueno, no, primero fue como un impacto así, que no lo entendía. Yo digo “¿cómo no me van a dejar salir de mi casa?” (…) No sabía en ese momento que era… (…) que era tan grande. “Una pandemia” yo nunca lo había escuchado». </w:t>
      </w:r>
    </w:p>
    <w:p>
      <w:pPr>
        <w:pStyle w:val="Normal"/>
        <w:spacing w:lineRule="auto" w:line="240" w:before="0" w:after="120"/>
        <w:ind w:left="284" w:right="284"/>
        <w:jc w:val="both"/>
        <w:rPr>
          <w:rFonts w:ascii="Times New Roman" w:hAnsi="Times New Roman" w:cs="Times New Roman"/>
        </w:rPr>
      </w:pPr>
      <w:r>
        <w:rPr>
          <w:rFonts w:cs="Times New Roman" w:ascii="Times New Roman" w:hAnsi="Times New Roman"/>
        </w:rPr>
      </w:r>
    </w:p>
    <w:p>
      <w:pPr>
        <w:pStyle w:val="Normal"/>
        <w:spacing w:lineRule="auto" w:line="360"/>
        <w:ind w:firstLine="284"/>
        <w:jc w:val="both"/>
        <w:rPr>
          <w:rFonts w:ascii="Times New Roman" w:hAnsi="Times New Roman" w:cs="Times New Roman"/>
          <w:sz w:val="24"/>
          <w:szCs w:val="24"/>
        </w:rPr>
      </w:pPr>
      <w:r>
        <w:rPr>
          <w:rFonts w:cs="Times New Roman" w:ascii="Times New Roman" w:hAnsi="Times New Roman"/>
          <w:sz w:val="24"/>
          <w:szCs w:val="24"/>
        </w:rPr>
        <w:t xml:space="preserve">De una parte, el cumplimiento de las restricciones se les presentaba como un imperativo más urgente que para otros grupos de edad. De otra parte, sostener ese cumplimiento suponía delegar tareas y actividades que, en casos como el de Elvira, antes realizaban de forma autónoma, lo que aumentaba sus necesidades de cuidado. Como resultado, esto frecuentemente condujo a una pérdida de independencia que, incluso cuando fuese solo transitoria, fue una fuente de conflicto para las personas mayores. En este sentido, Elvira diría que una de las actividades que más extrañó durante el aislamiento fue </w:t>
      </w:r>
      <w:r>
        <w:rPr>
          <w:rFonts w:cs="IBMPlexSerif" w:ascii="IBMPlexSerif" w:hAnsi="IBMPlexSerif"/>
        </w:rPr>
        <w:t>«</w:t>
      </w:r>
      <w:r>
        <w:rPr>
          <w:rFonts w:cs="Times New Roman" w:ascii="Times New Roman" w:hAnsi="Times New Roman"/>
          <w:sz w:val="24"/>
          <w:szCs w:val="24"/>
        </w:rPr>
        <w:t>ir a hacer las compras yo. Porque no era lo mismo. A mí me traían todo, pero no es lo mismo que yo elija». Conforme buscaremos mostrar a lo largo del capítulo, la familia, como agente sobre el que recaen principalmente las responsabilidades del cuidado, se encontró en el centro de esta tensión.</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Durante el aislamiento las rutinas de Elvira se reconfiguraron no solo hacia dentro del hogar sino también hacia afuera. Algunas de ellas se vieron interrumpidas totalmente. Tal fue el caso de su participación en dos centros de jubilados, donde antes asistía a reuniones periódicas y se organizaban viajes grupales cortos por el interior del país (de hecho, cancelaron un viaje planificado para marzo del 2020). Otras, no obstante, lograron sostenerse de forma mediada por tecnologías digitales.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Si bien Elvira tenía acceso a Internet en su hogar, solo se conectaba a través del teléfono celular y de un televisor </w:t>
      </w:r>
      <w:r>
        <w:rPr>
          <w:rFonts w:cs="Times New Roman" w:ascii="Times New Roman" w:hAnsi="Times New Roman"/>
          <w:i/>
          <w:iCs/>
          <w:sz w:val="24"/>
          <w:szCs w:val="24"/>
        </w:rPr>
        <w:t>smart</w:t>
      </w:r>
      <w:r>
        <w:rPr>
          <w:rFonts w:cs="Times New Roman" w:ascii="Times New Roman" w:hAnsi="Times New Roman"/>
          <w:sz w:val="24"/>
          <w:szCs w:val="24"/>
        </w:rPr>
        <w:t xml:space="preserve">, que había adquirido poco antes de la pandemia. No disponía de computadora, </w:t>
      </w:r>
      <w:r>
        <w:rPr>
          <w:rFonts w:cs="Times New Roman" w:ascii="Times New Roman" w:hAnsi="Times New Roman"/>
          <w:i/>
          <w:iCs/>
          <w:sz w:val="24"/>
          <w:szCs w:val="24"/>
        </w:rPr>
        <w:t>tablet</w:t>
      </w:r>
      <w:r>
        <w:rPr>
          <w:rFonts w:cs="Times New Roman" w:ascii="Times New Roman" w:hAnsi="Times New Roman"/>
          <w:sz w:val="24"/>
          <w:szCs w:val="24"/>
        </w:rPr>
        <w:t xml:space="preserve">, ni otros dispositivos similares. Así, el celular </w:t>
      </w:r>
      <w:r>
        <w:rPr>
          <w:rFonts w:cs="Times New Roman"/>
        </w:rPr>
        <w:t>–</w:t>
      </w:r>
      <w:r>
        <w:rPr>
          <w:rFonts w:cs="Times New Roman" w:ascii="Times New Roman" w:hAnsi="Times New Roman"/>
          <w:sz w:val="24"/>
          <w:szCs w:val="24"/>
        </w:rPr>
        <w:t>y, en particular, el intercambio de llamadas y mensajes a través del mismo</w:t>
      </w:r>
      <w:r>
        <w:rPr>
          <w:rFonts w:cs="Times New Roman"/>
        </w:rPr>
        <w:t>–</w:t>
      </w:r>
      <w:r>
        <w:rPr>
          <w:rFonts w:cs="Times New Roman" w:ascii="Times New Roman" w:hAnsi="Times New Roman"/>
          <w:sz w:val="24"/>
          <w:szCs w:val="24"/>
        </w:rPr>
        <w:t xml:space="preserve"> se volvió su principal forma de sostener el contacto con otros. Por ello afirmaba que </w:t>
      </w:r>
      <w:r>
        <w:rPr>
          <w:rFonts w:cs="IBMPlexSerif" w:ascii="IBMPlexSerif" w:hAnsi="IBMPlexSerif"/>
        </w:rPr>
        <w:t>«</w:t>
      </w:r>
      <w:r>
        <w:rPr>
          <w:rFonts w:cs="Times New Roman" w:ascii="Times New Roman" w:hAnsi="Times New Roman"/>
          <w:sz w:val="24"/>
          <w:szCs w:val="24"/>
        </w:rPr>
        <w:t>comunicarse con el celular, con una llamada, un mensajito, eso también ayudó mucho</w:t>
      </w:r>
      <w:r>
        <w:rPr>
          <w:rFonts w:cs="IBMPlexSerif" w:ascii="IBMPlexSerif" w:hAnsi="IBMPlexSerif"/>
        </w:rPr>
        <w:t>».</w:t>
      </w:r>
      <w:r>
        <w:rPr>
          <w:rStyle w:val="FootnoteReference"/>
          <w:rFonts w:ascii="Times New Roman" w:hAnsi="Times New Roman"/>
          <w:sz w:val="24"/>
          <w:szCs w:val="24"/>
        </w:rPr>
        <w:footnoteReference w:id="2"/>
      </w:r>
      <w:r>
        <w:rPr>
          <w:rFonts w:cs="Times New Roman" w:ascii="Times New Roman" w:hAnsi="Times New Roman"/>
          <w:sz w:val="24"/>
          <w:szCs w:val="24"/>
        </w:rPr>
        <w:t xml:space="preserve"> </w:t>
      </w:r>
    </w:p>
    <w:p>
      <w:pPr>
        <w:pStyle w:val="Normal"/>
        <w:spacing w:lineRule="auto" w:line="360"/>
        <w:ind w:firstLine="284"/>
        <w:jc w:val="both"/>
        <w:rPr>
          <w:rFonts w:ascii="Times New Roman" w:hAnsi="Times New Roman" w:cs="Times New Roman"/>
          <w:sz w:val="24"/>
          <w:szCs w:val="24"/>
        </w:rPr>
      </w:pPr>
      <w:r>
        <w:rPr>
          <w:rFonts w:cs="Times New Roman" w:ascii="Times New Roman" w:hAnsi="Times New Roman"/>
          <w:sz w:val="24"/>
          <w:szCs w:val="24"/>
        </w:rPr>
        <w:t>Una de las actividades más significativas para ella, en este sentido, fue su participación en la célula evangélica</w:t>
      </w:r>
      <w:r>
        <w:rPr>
          <w:rStyle w:val="FootnoteReference"/>
          <w:rFonts w:ascii="Times New Roman" w:hAnsi="Times New Roman"/>
          <w:sz w:val="24"/>
          <w:szCs w:val="24"/>
        </w:rPr>
        <w:footnoteReference w:id="3"/>
      </w:r>
      <w:r>
        <w:rPr>
          <w:rFonts w:cs="Times New Roman" w:ascii="Times New Roman" w:hAnsi="Times New Roman"/>
          <w:sz w:val="24"/>
          <w:szCs w:val="24"/>
        </w:rPr>
        <w:t>. Si bien había tenido algunas experiencias previas realizando videollamadas, fue bajo este contexto que las incorporó como una práctica habitual para participar de las reuniones semanales, que antes se desarrollaban presencialmente.</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120"/>
        <w:ind w:left="567" w:right="284"/>
        <w:jc w:val="both"/>
        <w:rPr>
          <w:rFonts w:ascii="Times New Roman" w:hAnsi="Times New Roman" w:cs="Times New Roman"/>
        </w:rPr>
      </w:pPr>
      <w:r>
        <w:rPr>
          <w:rFonts w:cs="Times New Roman" w:ascii="Times New Roman" w:hAnsi="Times New Roman"/>
        </w:rPr>
        <w:t xml:space="preserve">«Voy a la iglesia evangélica también, así que siempre teníamos reuniones, o teníamos la célula. Y la tecnología nos ayudó mucho, porque yo me conectaba con el celular a la célula. Así que teníamos el grupo de las que estábamos siempre. Así que dos veces por semana yo tenía la conexión con los de la </w:t>
      </w:r>
      <w:r>
        <w:rPr>
          <w:rFonts w:ascii="Times New Roman" w:hAnsi="Times New Roman"/>
        </w:rPr>
        <w:t>i</w:t>
      </w:r>
      <w:r>
        <w:rPr>
          <w:rFonts w:cs="Times New Roman" w:ascii="Times New Roman" w:hAnsi="Times New Roman"/>
        </w:rPr>
        <w:t>glesia.</w:t>
      </w:r>
      <w:r>
        <w:rPr>
          <w:rFonts w:ascii="Times New Roman" w:hAnsi="Times New Roman"/>
        </w:rPr>
        <w:t xml:space="preserve"> (…) </w:t>
      </w:r>
      <w:r>
        <w:rPr>
          <w:rFonts w:cs="Times New Roman" w:ascii="Times New Roman" w:hAnsi="Times New Roman"/>
        </w:rPr>
        <w:t>Eran creo que seis o siete que podían entrar a la videollamada. Sí. Así que, bueno, eso también me alentó mucho. Me acompañaban también, ¿no?»</w:t>
      </w:r>
    </w:p>
    <w:p>
      <w:pPr>
        <w:pStyle w:val="Normal"/>
        <w:spacing w:lineRule="auto" w:line="240" w:before="0" w:after="120"/>
        <w:ind w:left="284" w:right="284"/>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284"/>
        <w:jc w:val="both"/>
        <w:rPr>
          <w:rFonts w:ascii="Times New Roman" w:hAnsi="Times New Roman" w:cs="Times New Roman"/>
          <w:sz w:val="24"/>
          <w:szCs w:val="24"/>
        </w:rPr>
      </w:pPr>
      <w:r>
        <w:rPr>
          <w:rFonts w:cs="Times New Roman" w:ascii="Times New Roman" w:hAnsi="Times New Roman"/>
          <w:sz w:val="24"/>
          <w:szCs w:val="24"/>
        </w:rPr>
        <w:t xml:space="preserve">Para asistir al culto dominical, sin embargo, encontró otras dificultades. Este se transmitía a través de Zoom, lo que era totalmente nuevo para ella. En situaciones como esta, cuando se le presentaban dificultades para </w:t>
      </w:r>
      <w:r>
        <w:rPr>
          <w:rFonts w:cs="IBMPlexSerif" w:ascii="IBMPlexSerif" w:hAnsi="IBMPlexSerif"/>
        </w:rPr>
        <w:t>«</w:t>
      </w:r>
      <w:r>
        <w:rPr>
          <w:rFonts w:cs="Times New Roman" w:ascii="Times New Roman" w:hAnsi="Times New Roman"/>
          <w:sz w:val="24"/>
          <w:szCs w:val="24"/>
        </w:rPr>
        <w:t>manejar la tecnología</w:t>
      </w:r>
      <w:r>
        <w:rPr>
          <w:rFonts w:cs="IBMPlexSerif" w:ascii="IBMPlexSerif" w:hAnsi="IBMPlexSerif"/>
        </w:rPr>
        <w:t>»</w:t>
      </w:r>
      <w:r>
        <w:rPr>
          <w:rFonts w:cs="Times New Roman" w:ascii="Times New Roman" w:hAnsi="Times New Roman"/>
          <w:sz w:val="24"/>
          <w:szCs w:val="24"/>
        </w:rPr>
        <w:t xml:space="preserve"> que no podía resolver por sí misma, una de las personas que la ayudaba era su nieta. De hecho, ella había sido quien instaló el televisor </w:t>
      </w:r>
      <w:r>
        <w:rPr>
          <w:rFonts w:cs="Times New Roman" w:ascii="Times New Roman" w:hAnsi="Times New Roman"/>
          <w:i/>
          <w:iCs/>
          <w:sz w:val="24"/>
          <w:szCs w:val="24"/>
        </w:rPr>
        <w:t>smart</w:t>
      </w:r>
      <w:r>
        <w:rPr>
          <w:rFonts w:cs="Times New Roman" w:ascii="Times New Roman" w:hAnsi="Times New Roman"/>
          <w:sz w:val="24"/>
          <w:szCs w:val="24"/>
        </w:rPr>
        <w:t xml:space="preserve"> y le enseñó a conectarse a YouTube; lo que le permitió a Elvira entretenerse durante el aislamiento más estricto buscando tutoriales de tejido y jardinería. Solo después de un tiempo, cuando las restricciones empezaron a flexibilizarse, ella pudo ingresar a la vivienda y ayudarla a configurar esa plataforma.</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r>
    </w:p>
    <w:p>
      <w:pPr>
        <w:pStyle w:val="PlainText"/>
        <w:spacing w:before="0" w:after="120"/>
        <w:ind w:left="567" w:right="567"/>
        <w:jc w:val="both"/>
        <w:rPr>
          <w:rFonts w:ascii="Times New Roman" w:hAnsi="Times New Roman"/>
          <w:sz w:val="22"/>
          <w:szCs w:val="22"/>
          <w:lang w:val="es-ES"/>
        </w:rPr>
      </w:pPr>
      <w:r>
        <w:rPr>
          <w:rFonts w:eastAsia="Cambria" w:ascii="Times New Roman" w:hAnsi="Times New Roman" w:eastAsiaTheme="minorHAnsi"/>
          <w:sz w:val="22"/>
          <w:szCs w:val="22"/>
          <w:lang w:val="es-ES"/>
        </w:rPr>
        <w:t xml:space="preserve">«Los domingos me conectaba con el Zoom, que me lo había puesto mi nieta, cuando ya… después, viste, que ya pasó que… de la pandemia, que podían entrar. Un día dice “bueno”, dice “yo entro, te conecto la conexión del Zoom en el televisor y después yo me voy”. Así que ella entró, hizo eso y se fue. </w:t>
      </w:r>
      <w:r>
        <w:rPr>
          <w:rFonts w:ascii="Times New Roman" w:hAnsi="Times New Roman"/>
          <w:lang w:val="es-ES"/>
        </w:rPr>
        <w:t>(…)</w:t>
      </w:r>
      <w:r>
        <w:rPr>
          <w:rFonts w:ascii="Times New Roman" w:hAnsi="Times New Roman"/>
          <w:sz w:val="22"/>
          <w:szCs w:val="22"/>
          <w:lang w:val="es-ES"/>
        </w:rPr>
        <w:t xml:space="preserve"> Así que yo los cultos los veía los domingos</w:t>
      </w:r>
      <w:r>
        <w:rPr>
          <w:rFonts w:ascii="Times New Roman" w:hAnsi="Times New Roman"/>
          <w:lang w:val="es-ES"/>
        </w:rPr>
        <w:t>, l</w:t>
      </w:r>
      <w:r>
        <w:rPr>
          <w:rFonts w:ascii="Times New Roman" w:hAnsi="Times New Roman"/>
          <w:sz w:val="22"/>
          <w:szCs w:val="22"/>
          <w:lang w:val="es-ES"/>
        </w:rPr>
        <w:t>os veía en el televisor».</w:t>
      </w:r>
    </w:p>
    <w:p>
      <w:pPr>
        <w:pStyle w:val="PlainText"/>
        <w:spacing w:before="0" w:after="120"/>
        <w:ind w:left="284" w:right="567"/>
        <w:jc w:val="both"/>
        <w:rPr>
          <w:rFonts w:ascii="Times New Roman" w:hAnsi="Times New Roman"/>
          <w:sz w:val="22"/>
          <w:szCs w:val="22"/>
          <w:lang w:val="es-ES"/>
        </w:rPr>
      </w:pPr>
      <w:r>
        <w:rPr>
          <w:rFonts w:ascii="Times New Roman" w:hAnsi="Times New Roman"/>
          <w:sz w:val="22"/>
          <w:szCs w:val="22"/>
          <w:lang w:val="es-ES"/>
        </w:rPr>
      </w:r>
    </w:p>
    <w:p>
      <w:pPr>
        <w:pStyle w:val="PlainText"/>
        <w:spacing w:lineRule="auto" w:line="360"/>
        <w:ind w:firstLine="284" w:right="-1"/>
        <w:jc w:val="both"/>
        <w:rPr>
          <w:rFonts w:ascii="Times New Roman" w:hAnsi="Times New Roman" w:eastAsia="Cambria" w:eastAsiaTheme="minorHAnsi"/>
          <w:sz w:val="24"/>
          <w:szCs w:val="24"/>
          <w:lang w:val="es-ES"/>
        </w:rPr>
      </w:pPr>
      <w:r>
        <w:rPr>
          <w:rFonts w:eastAsia="Cambria" w:ascii="Times New Roman" w:hAnsi="Times New Roman" w:eastAsiaTheme="minorHAnsi"/>
          <w:sz w:val="24"/>
          <w:szCs w:val="24"/>
          <w:lang w:val="es-ES"/>
        </w:rPr>
        <w:t xml:space="preserve">A medida que las instituciones donde participaba reanudaron sus actividades presenciales, Elvira se reincorporó rápidamente. Si bien mantuvo ciertos recaudos (como, por ejemplo, no compartir el mate), destacaba que no tuvo miedo en volver a salir. Para ella, la vuelta a la normalidad empezó con el primer viaje que realizaron con un grupo del centro de jubilados a San Juan, hacia mediados del 2021: «Sí, ¡la primer salida! Ay, fue… Lo disfrutamos… Fuimos siete días. Fue…». </w:t>
      </w:r>
    </w:p>
    <w:p>
      <w:pPr>
        <w:pStyle w:val="PlainText"/>
        <w:spacing w:lineRule="auto" w:line="360"/>
        <w:ind w:firstLine="284" w:right="-1"/>
        <w:jc w:val="both"/>
        <w:rPr>
          <w:rFonts w:ascii="Times New Roman" w:hAnsi="Times New Roman" w:eastAsia="Cambria" w:eastAsiaTheme="minorHAnsi"/>
          <w:sz w:val="24"/>
          <w:szCs w:val="24"/>
          <w:lang w:val="es-ES"/>
        </w:rPr>
      </w:pPr>
      <w:r>
        <w:rPr>
          <w:rFonts w:eastAsia="Cambria" w:ascii="Times New Roman" w:hAnsi="Times New Roman" w:eastAsiaTheme="minorHAnsi"/>
          <w:sz w:val="24"/>
          <w:szCs w:val="24"/>
          <w:lang w:val="es-ES"/>
        </w:rPr>
        <w:t xml:space="preserve">Sin embargo, a partir de lo que observaba entre sus compañeros y compañeras, ella juzgaba que su propia disposición conformaba más una excepción que la regla. Así lo comentaba al respecto de la organización de ese viaje, marcando una distinción entre ella </w:t>
      </w:r>
      <w:r>
        <w:rPr/>
        <w:t>–</w:t>
      </w:r>
      <w:r>
        <w:rPr>
          <w:rFonts w:eastAsia="Cambria" w:ascii="Times New Roman" w:hAnsi="Times New Roman" w:eastAsiaTheme="minorHAnsi"/>
          <w:sz w:val="24"/>
          <w:szCs w:val="24"/>
          <w:lang w:val="es-ES"/>
        </w:rPr>
        <w:t>que, más allá de aquel momento inicial donde había aceptado las indicaciones de su hija, no consentía que tutelasen sus movimientos</w:t>
      </w:r>
      <w:r>
        <w:rPr/>
        <w:t>–</w:t>
      </w:r>
      <w:r>
        <w:rPr>
          <w:rFonts w:eastAsia="Cambria" w:ascii="Times New Roman" w:hAnsi="Times New Roman" w:eastAsiaTheme="minorHAnsi"/>
          <w:sz w:val="24"/>
          <w:szCs w:val="24"/>
          <w:lang w:val="es-ES"/>
        </w:rPr>
        <w:t xml:space="preserve"> y otras compañeras, que referían situaciones de sobreprotección por parte de sus hijos e hijas.</w:t>
      </w:r>
    </w:p>
    <w:p>
      <w:pPr>
        <w:pStyle w:val="PlainText"/>
        <w:spacing w:lineRule="auto" w:line="360"/>
        <w:ind w:right="-1"/>
        <w:jc w:val="both"/>
        <w:rPr>
          <w:rFonts w:ascii="Times New Roman" w:hAnsi="Times New Roman" w:eastAsia="Cambria" w:eastAsiaTheme="minorHAnsi"/>
          <w:sz w:val="24"/>
          <w:szCs w:val="24"/>
          <w:lang w:val="es-ES"/>
        </w:rPr>
      </w:pPr>
      <w:r>
        <w:rPr>
          <w:rFonts w:eastAsia="Cambria" w:eastAsiaTheme="minorHAnsi" w:ascii="Times New Roman" w:hAnsi="Times New Roman"/>
          <w:sz w:val="24"/>
          <w:szCs w:val="24"/>
          <w:lang w:val="es-ES"/>
        </w:rPr>
      </w:r>
    </w:p>
    <w:p>
      <w:pPr>
        <w:pStyle w:val="PlainText"/>
        <w:spacing w:before="0" w:after="120"/>
        <w:ind w:left="567" w:right="284"/>
        <w:jc w:val="both"/>
        <w:rPr>
          <w:rFonts w:ascii="Times New Roman" w:hAnsi="Times New Roman" w:eastAsia="Cambria" w:eastAsiaTheme="minorHAnsi"/>
          <w:sz w:val="22"/>
          <w:szCs w:val="22"/>
          <w:lang w:val="es-ES"/>
        </w:rPr>
      </w:pPr>
      <w:r>
        <w:rPr>
          <w:rFonts w:eastAsia="Cambria" w:ascii="Times New Roman" w:hAnsi="Times New Roman" w:eastAsiaTheme="minorHAnsi"/>
          <w:sz w:val="22"/>
          <w:szCs w:val="22"/>
          <w:lang w:val="es-ES"/>
        </w:rPr>
        <w:t>«Vamos a suponer el año pasado, cuando Norma me dice… era pleno julio, “hay un viaje, ¿vamos Elvira?” “¡Sí!” Yo ni le pregunto a mi hija. “¡Sí!”, le digo. (…) Algunas abuelas dicen “no, porque mi hijo no me deja salir”, “no, porque mi hija no quiere”. “¿Y a vos qué te dicen?” “No”, les digo, “yo me manejo sola”. Les digo “yo me manejo sola”. No, no, no. Después les comparto. “Mirá que me voy tal día”».</w:t>
      </w:r>
    </w:p>
    <w:p>
      <w:pPr>
        <w:pStyle w:val="PlainText"/>
        <w:spacing w:before="0" w:after="120"/>
        <w:ind w:left="284" w:right="284"/>
        <w:jc w:val="both"/>
        <w:rPr>
          <w:rFonts w:ascii="Times New Roman" w:hAnsi="Times New Roman" w:eastAsia="Cambria" w:eastAsiaTheme="minorHAnsi"/>
          <w:sz w:val="22"/>
          <w:szCs w:val="22"/>
          <w:lang w:val="es-ES"/>
        </w:rPr>
      </w:pPr>
      <w:r>
        <w:rPr>
          <w:rFonts w:eastAsia="Cambria" w:eastAsiaTheme="minorHAnsi" w:ascii="Times New Roman" w:hAnsi="Times New Roman"/>
          <w:sz w:val="22"/>
          <w:szCs w:val="22"/>
          <w:lang w:val="es-ES"/>
        </w:rPr>
      </w:r>
    </w:p>
    <w:p>
      <w:pPr>
        <w:pStyle w:val="PlainText"/>
        <w:spacing w:lineRule="auto" w:line="360"/>
        <w:ind w:firstLine="284" w:right="-1"/>
        <w:jc w:val="both"/>
        <w:rPr>
          <w:rFonts w:ascii="Times New Roman" w:hAnsi="Times New Roman" w:eastAsia="Cambria" w:eastAsiaTheme="minorHAnsi"/>
          <w:sz w:val="24"/>
          <w:szCs w:val="24"/>
          <w:lang w:val="es-ES"/>
        </w:rPr>
      </w:pPr>
      <w:r>
        <w:rPr>
          <w:rFonts w:eastAsia="Cambria" w:ascii="Times New Roman" w:hAnsi="Times New Roman" w:eastAsiaTheme="minorHAnsi"/>
          <w:sz w:val="24"/>
          <w:szCs w:val="24"/>
          <w:lang w:val="es-ES"/>
        </w:rPr>
        <w:t>En íntima relación con ello, Elvira identificaba que la concurrencia tanto a los centros de jubilados como a la iglesia había mermado significativamente luego de la pandemia. Esta marcaba un punto de inflexión, alterando desde entonces la dinámica de ambas instituciones. Uno de los principales motivos que, desde su perspectiva, explicaban esta disminución era el miedo persistente entre sus pares generacionales. Asimismo, no debe pasarse por alto la incidencia que tuvo el fallecimiento de compañeros y compañeras durante ese período.</w:t>
      </w:r>
    </w:p>
    <w:p>
      <w:pPr>
        <w:pStyle w:val="PlainText"/>
        <w:spacing w:lineRule="auto" w:line="360"/>
        <w:ind w:right="-1"/>
        <w:jc w:val="both"/>
        <w:rPr>
          <w:rFonts w:ascii="Times New Roman" w:hAnsi="Times New Roman" w:eastAsia="Cambria" w:eastAsiaTheme="minorHAnsi"/>
          <w:sz w:val="24"/>
          <w:szCs w:val="24"/>
          <w:lang w:val="es-ES"/>
        </w:rPr>
      </w:pPr>
      <w:r>
        <w:rPr>
          <w:rFonts w:eastAsia="Cambria" w:eastAsiaTheme="minorHAnsi" w:ascii="Times New Roman" w:hAnsi="Times New Roman"/>
          <w:sz w:val="24"/>
          <w:szCs w:val="24"/>
          <w:lang w:val="es-ES"/>
        </w:rPr>
      </w:r>
    </w:p>
    <w:p>
      <w:pPr>
        <w:pStyle w:val="PlainText"/>
        <w:spacing w:before="0" w:after="120"/>
        <w:ind w:left="567" w:right="240"/>
        <w:jc w:val="both"/>
        <w:rPr>
          <w:rFonts w:ascii="Times New Roman" w:hAnsi="Times New Roman" w:eastAsia="Cambria" w:eastAsiaTheme="minorHAnsi"/>
          <w:sz w:val="22"/>
          <w:szCs w:val="22"/>
          <w:lang w:val="es-ES"/>
        </w:rPr>
      </w:pPr>
      <w:r>
        <w:rPr>
          <w:rFonts w:eastAsia="Cambria" w:ascii="Times New Roman" w:hAnsi="Times New Roman" w:eastAsiaTheme="minorHAnsi"/>
          <w:sz w:val="22"/>
          <w:szCs w:val="22"/>
          <w:lang w:val="es-ES"/>
        </w:rPr>
        <w:t xml:space="preserve">«Cuando empezó esto del… que se abrió la pandemia, pasó… costó mucho también, porque son pocos los jubilados que van. Sí, ya no es como antes. (…) Muchos, bueno, han partido también. Hay gente que dejó. (…) No es como antes. Antes era... era más grande. (…)  Muchas han quedado con miedo. </w:t>
      </w:r>
      <w:r>
        <w:rPr>
          <w:rFonts w:ascii="Times New Roman" w:hAnsi="Times New Roman"/>
        </w:rPr>
        <w:t xml:space="preserve">No se han hecho todavía las reuniones. Se van a los cultos. Se van los domingos. (…) Ahora recién se están empezando a organizar. Claro, porque muchos han dejado, muchos se han quedado, ¿viste? Eso ya cambió, después de la pandemia cambió mucho. (…) Muchos se… se han quedado, se han frustrado en el miedo, ¿no?». </w:t>
      </w:r>
    </w:p>
    <w:p>
      <w:pPr>
        <w:pStyle w:val="Normal"/>
        <w:spacing w:lineRule="auto" w:line="240" w:before="0" w:after="120"/>
        <w:ind w:left="284" w:right="567"/>
        <w:jc w:val="both"/>
        <w:rPr>
          <w:rFonts w:ascii="Times New Roman" w:hAnsi="Times New Roman" w:cs="Times New Roman"/>
        </w:rPr>
      </w:pPr>
      <w:r>
        <w:rPr>
          <w:rFonts w:cs="Times New Roman" w:ascii="Times New Roman" w:hAnsi="Times New Roman"/>
        </w:rPr>
      </w:r>
    </w:p>
    <w:p>
      <w:pPr>
        <w:pStyle w:val="AnnotationText"/>
        <w:spacing w:lineRule="auto" w:line="360"/>
        <w:ind w:firstLine="284"/>
        <w:jc w:val="both"/>
        <w:rPr>
          <w:rFonts w:ascii="Times New Roman" w:hAnsi="Times New Roman" w:cs="Times New Roman"/>
          <w:sz w:val="24"/>
          <w:szCs w:val="24"/>
        </w:rPr>
      </w:pPr>
      <w:r>
        <w:rPr>
          <w:rFonts w:cs="Times New Roman" w:ascii="Times New Roman" w:hAnsi="Times New Roman"/>
          <w:sz w:val="24"/>
          <w:szCs w:val="24"/>
        </w:rPr>
        <w:t xml:space="preserve">La historia de Elvira pone de relieve que la pandemia transformó profundamente los espacios y las redes de sociabilidad de las personas mayores. Algunos lograron reinventarse pasando a la virtualidad, otros se vieron completamente interrumpidos durante el aislamiento, pero ninguno volvería a ser “como antes”. En ello, el miedo al contagio y la percepción del riesgo, tanto por parte de las personas mayores como de sus familiares, jugaría un rol central. </w:t>
      </w:r>
    </w:p>
    <w:p>
      <w:pPr>
        <w:pStyle w:val="AnnotationText"/>
        <w:spacing w:lineRule="auto" w:line="360"/>
        <w:ind w:firstLine="284"/>
        <w:jc w:val="both"/>
        <w:rPr>
          <w:rFonts w:ascii="Times New Roman" w:hAnsi="Times New Roman" w:cs="Times New Roman"/>
          <w:sz w:val="24"/>
          <w:szCs w:val="24"/>
        </w:rPr>
      </w:pPr>
      <w:bookmarkStart w:id="6" w:name="_Hlk182836305"/>
      <w:r>
        <w:rPr>
          <w:rFonts w:cs="Times New Roman" w:ascii="Times New Roman" w:hAnsi="Times New Roman"/>
          <w:sz w:val="24"/>
          <w:szCs w:val="24"/>
        </w:rPr>
        <w:t>En el caso de Elvira, dado que ella habitaba un hogar unipersonal, su experiencia estuvo signada por el contraste entre un confinamiento que atravesó en soledad y la búsqueda por sostener y recomponer lazos con otros (ya fueran familiares, amistades o su comunidad religiosa). Durante el período de mayores restricciones, esa búsqueda se vio sujeta a condiciones de acceso y uso de tecnologías digitales que, ya desde antes de la pandemia, eran relativamente limitadas en función de su posición de clase (y, bajo ese contexto, no se vieron modificadas). Con todo, esas tecnologías fueron para ella ventanas a través de las cuales sentirse acompañada por quienes estaban del otro lado.</w:t>
      </w:r>
      <w:bookmarkEnd w:id="6"/>
    </w:p>
    <w:p>
      <w:pPr>
        <w:pStyle w:val="Normal"/>
        <w:spacing w:lineRule="auto" w:line="360" w:before="240" w:after="0"/>
        <w:jc w:val="both"/>
        <w:rPr>
          <w:rFonts w:ascii="Times New Roman" w:hAnsi="Times New Roman" w:cs="Times New Roman"/>
          <w:b/>
          <w:bCs/>
          <w:i/>
          <w:i/>
          <w:iCs/>
          <w:sz w:val="24"/>
          <w:szCs w:val="24"/>
        </w:rPr>
      </w:pPr>
      <w:r>
        <w:rPr>
          <w:rFonts w:cs="Times New Roman" w:ascii="Times New Roman" w:hAnsi="Times New Roman"/>
          <w:b/>
          <w:bCs/>
          <w:i/>
          <w:iCs/>
          <w:sz w:val="24"/>
          <w:szCs w:val="24"/>
        </w:rPr>
        <w:t>Aníbal: de pérdidas irremplazables y ganancias inesperadas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El inicio de la pandemia encontró a Aníbal con una pérdida total de la visión a causa del glaucoma. El avance pronunciado de esta condición durante los años previos había significado para él un parteaguas en su trayectoria biográfica, que sintetizaría categóricamente en la siguiente expresión: «hasta que cumplí 80 años tuve una vida normal».</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Aníbal experimentó muy temprano en su adolescencia «el llamado del mar» y se inclinó por una carrera en la navegación. Dejó su hogar en Mar del Plata para cursar estudios secundarios como parte de una de las primeras promociones del Liceo Naval y, más adelante, completó su formación superior en la Escuela Nacional de Náutica. Llegó a insertarse como práctico</w:t>
      </w:r>
      <w:r>
        <w:rPr>
          <w:rStyle w:val="FootnoteReference"/>
          <w:rFonts w:cs="Times New Roman" w:ascii="Times New Roman" w:hAnsi="Times New Roman"/>
          <w:sz w:val="24"/>
          <w:szCs w:val="24"/>
        </w:rPr>
        <w:footnoteReference w:id="4"/>
      </w:r>
      <w:r>
        <w:rPr>
          <w:rFonts w:cs="Times New Roman" w:ascii="Times New Roman" w:hAnsi="Times New Roman"/>
          <w:sz w:val="24"/>
          <w:szCs w:val="24"/>
        </w:rPr>
        <w:t xml:space="preserve"> en el Río de La Plata, puesto en el que se desempeñó durante 28 años hasta su jubilación.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Dada la centralidad que asume el trabajo como soporte de la identidad masculina, es común que para los varones mayores el retiro laboral sea una transición difícil de afrontar (Iacub, 2017), conllevando frecuentemente un fuerte deterioro de sus redes de sociabilidad (Arber et al., 2003). Para Aníbal, sin embargo, representó una oportunidad para disfrutar de nuevas actividades, a la vez que para transformar e incluso afianzar esos vínculos. En este sentido, forjó una estrecha amistad con uno de sus compañeros de la Escuela de Náutica, quien se volvería «un casi hermano». Si bien se conocían desde los 16 años, recién con la jubilación «empezamos a tener más contacto porque la vida, digamos, se nos hizo más fácil y empezamos a salir juntos, y a cenar juntos, y a ir al teatro juntos, y al cine juntos». Además, con sus compañeros de promoción del Liceo sostuvieron durante décadas un sistema de almuerzos mensuales según el cual «el primer martes de cada mes, sin invitación previa, nos reunimos en el Centro [de Graduados]». Con uno de ellos, en particular, que además vivía cerca de su departamento en Palermo, tomarían la costumbre de pasar las tardes paseando a sus perros en el parque Las Heras.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Las rutinas cotidianas de Aníbal se fueron transformando junto con la disminución progresiva de su capacidad visual. Por ejemplo, tuvo que dejar de manejar su auto, a la vez que se le dificultaba desplazarse solo en la vía pública. En consecuencia, para seguir participando de los almuerzos en el Centro, empezó a recurrir a su amigo para la gestión del traslado: «él me venía a buscar y tomábamos un taxi, porque él también se había quedado sin auto, y me llevaba y me traía».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Durante este período comenzó a tomar clases particulares en su domicilio con una profesora de educación especial, que «me enseñó a conducirme como ciego». Parte de esos aprendizajes estuvieron ligados al uso de tecnologías digitales. Por ejemplo, incorporó el manejo de un software específico en el teléfono celular, que pasaría a usar de forma diaria para comunicarse con sus amigos: «compré para esos efectos un iPhone y me manejo con Siri. El iPhone tiene un programa que habla, que me lee los WhatsApp. Bueno, la cuestión es que ella me enseñó a usar el WhatsApp». La computadora, por el contrario, no ocupó para él un lugar significativo durante la pandemia</w:t>
      </w:r>
      <w:r>
        <w:rPr>
          <w:rStyle w:val="FootnoteReference"/>
          <w:rFonts w:cs="Times New Roman" w:ascii="Times New Roman" w:hAnsi="Times New Roman"/>
          <w:sz w:val="24"/>
          <w:szCs w:val="24"/>
        </w:rPr>
        <w:footnoteReference w:id="5"/>
      </w:r>
      <w:r>
        <w:rPr>
          <w:rFonts w:cs="Times New Roman" w:ascii="Times New Roman" w:hAnsi="Times New Roman"/>
          <w:sz w:val="24"/>
          <w:szCs w:val="24"/>
        </w:rPr>
        <w:t xml:space="preserve">. Por otra parte, considerando que a Aníbal le gustaba ir al teatro, esta profesora le indicó cómo acceder a programas de descuentos en entradas para personas con discapacidad. Sin embargo, este tipo de salidas «se cortó con la pandemia».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Aníbal transitó el aislamiento junto con su esposa y uno de sus hijos, de entonces 58 años, en su departamento de cuatro ambientes. Para él, este período comenzó incluso antes de lo dispuesto oficialmente -y se prolongó también mucho después-, indicando que «desde el 11 de marzo del 2020 que estoy recluido». En gran parte, la necesidad de extremar esta medida de prevención tenía que ver con reconocerse a sí mismo en una condición de especial vulnerabilidad, por la presencia de comorbilidades: «En</w:t>
      </w:r>
      <w:r>
        <w:rPr>
          <w:rFonts w:eastAsia="Times New Roman" w:cs="Times New Roman" w:ascii="Times New Roman" w:hAnsi="Times New Roman"/>
          <w:sz w:val="24"/>
          <w:szCs w:val="24"/>
        </w:rPr>
        <w:t xml:space="preserve">tre mis </w:t>
      </w:r>
      <w:r>
        <w:rPr>
          <w:rFonts w:cs="Times New Roman" w:ascii="Times New Roman" w:hAnsi="Times New Roman"/>
          <w:sz w:val="24"/>
          <w:szCs w:val="24"/>
        </w:rPr>
        <w:t>ñañas, tengo diabetes, tengo marcapasos, tengo dos stents y estoy anticoagulado. Así que soy un candidato preferido por los virus, ¿no? Así que me tengo que cuidar bastante».</w:t>
      </w:r>
    </w:p>
    <w:p>
      <w:pPr>
        <w:pStyle w:val="Normal"/>
        <w:spacing w:lineRule="auto" w:line="360"/>
        <w:ind w:firstLine="284"/>
        <w:jc w:val="both"/>
        <w:rPr>
          <w:rFonts w:ascii="Times New Roman" w:hAnsi="Times New Roman" w:cs="Times New Roman"/>
          <w:sz w:val="24"/>
          <w:szCs w:val="24"/>
        </w:rPr>
      </w:pPr>
      <w:r>
        <w:rPr>
          <w:rFonts w:cs="Times New Roman" w:ascii="Times New Roman" w:hAnsi="Times New Roman"/>
          <w:sz w:val="24"/>
          <w:szCs w:val="24"/>
        </w:rPr>
        <w:t>Bajo este contexto, la reorganización de las tareas domésticas y de cuidado relativas al hogar de Aníbal supuso no solo una mayor recarga sobre los miembros de su familia nuclear (especialmente su esposa, quien absorbió las tareas de orden y limpieza que antes formaban parte del trabajo de la empleada doméstica). Durante los primeros meses, para aquellas actividades cotidianas que requerían salir de la vivienda, contaron también con el apoyo del encargado del edificio donde vivían.</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120"/>
        <w:ind w:left="567" w:right="284"/>
        <w:jc w:val="both"/>
        <w:rPr>
          <w:rFonts w:ascii="Times New Roman" w:hAnsi="Times New Roman" w:eastAsia="Times New Roman" w:cs="Times New Roman"/>
          <w:sz w:val="24"/>
          <w:szCs w:val="24"/>
          <w:highlight w:val="red"/>
        </w:rPr>
      </w:pPr>
      <w:r>
        <w:rPr>
          <w:rFonts w:eastAsia="Times New Roman" w:cs="Times New Roman" w:ascii="Times New Roman" w:hAnsi="Times New Roman"/>
        </w:rPr>
        <w:t>«Acá la casa estaba en orden y [</w:t>
      </w:r>
      <w:r>
        <w:rPr>
          <w:rFonts w:eastAsia="Times New Roman" w:cs="Times New Roman" w:ascii="Times New Roman" w:hAnsi="Times New Roman"/>
          <w:i/>
          <w:iCs/>
        </w:rPr>
        <w:t>su esposa</w:t>
      </w:r>
      <w:r>
        <w:rPr>
          <w:rFonts w:eastAsia="Times New Roman" w:cs="Times New Roman" w:ascii="Times New Roman" w:hAnsi="Times New Roman"/>
        </w:rPr>
        <w:t>] la mantuvo bien (…) Y después acá tenemos al encargado del edificio, que es una joya (…) Cualquier cosa está a la orden, a cualquier hora. Pero él se encarga, por ejemplo, de venir a buscar la ropa para llevar al lavadero y traerla.»</w:t>
      </w:r>
    </w:p>
    <w:p>
      <w:pPr>
        <w:pStyle w:val="Normal"/>
        <w:spacing w:lineRule="auto" w:line="360"/>
        <w:ind w:firstLine="284"/>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284"/>
        <w:jc w:val="both"/>
        <w:rPr>
          <w:rFonts w:ascii="Times New Roman" w:hAnsi="Times New Roman" w:cs="Times New Roman"/>
          <w:sz w:val="24"/>
          <w:szCs w:val="24"/>
        </w:rPr>
      </w:pPr>
      <w:r>
        <w:rPr>
          <w:rFonts w:cs="Times New Roman" w:ascii="Times New Roman" w:hAnsi="Times New Roman"/>
          <w:sz w:val="24"/>
          <w:szCs w:val="24"/>
        </w:rPr>
        <w:t>Esto permite sugerir que, en el marco de la pandemia, las redes de cuidado pueden haberse extendido también por fuera de la familia, movilizando elementos de la arista comunitaria del diamante del cuidado. En este sentido, cabe destacar que mientras las redes comunitarias de cuidado se encuentran más desarrolladas entre los sectores populares (Gonzálvez Torralbo y Lube Guizardi, 2021), no registran la misma incidencia entre los sectores medios. En consecuencia, sería interesante indagar de qué maneras la excepcionalidad del contexto pandémico pudo activar -así sea de forma incipiente y/o transitoria- la organización de este tipo de vínculos, orientados al cuidado de personas mayores, donde antes no adquirían esa dimensión.</w:t>
      </w:r>
    </w:p>
    <w:p>
      <w:pPr>
        <w:pStyle w:val="Normal"/>
        <w:spacing w:lineRule="auto" w:line="360"/>
        <w:ind w:firstLine="284"/>
        <w:jc w:val="both"/>
        <w:rPr>
          <w:rFonts w:ascii="Times New Roman" w:hAnsi="Times New Roman" w:eastAsia="Times New Roman" w:cs="Times New Roman"/>
          <w:sz w:val="24"/>
          <w:szCs w:val="24"/>
        </w:rPr>
      </w:pPr>
      <w:r>
        <w:rPr>
          <w:rFonts w:cs="Times New Roman" w:ascii="Times New Roman" w:hAnsi="Times New Roman"/>
          <w:sz w:val="24"/>
          <w:szCs w:val="24"/>
        </w:rPr>
        <w:t>La experiencia de Aníbal sobre la pandemia estuvo teñida por acontecimientos de profunda trascendencia, que marcaron su biografía en más de un sentido. Sin lugar a dudas, para él lo más difícil de sobrellevar fue la muerte de varios de sus ex compañeros (algunos de ellos a causa del COVID), entre quienes se encontraron dos de los grandes amigos que había consolidado en su vejez. Esto lo llevó a «una depre monumental», que comenzó a sortear recién hacia diciembre del 2020</w:t>
      </w:r>
      <w:r>
        <w:rPr>
          <w:rFonts w:eastAsia="Times New Roman" w:cs="Times New Roman" w:ascii="Times New Roman" w:hAnsi="Times New Roman"/>
          <w:sz w:val="24"/>
          <w:szCs w:val="24"/>
        </w:rPr>
        <w:t>. Aun así, el carácter irreversible de estas pérdidas marcaría para él la imposibilidad del reestablecer enteramente la vida que llevaba antes de la pandemia.</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120"/>
        <w:ind w:left="567" w:right="284"/>
        <w:jc w:val="both"/>
        <w:rPr>
          <w:rFonts w:ascii="Times New Roman" w:hAnsi="Times New Roman" w:eastAsia="Times New Roman" w:cs="Times New Roman"/>
        </w:rPr>
      </w:pPr>
      <w:r>
        <w:rPr>
          <w:rFonts w:eastAsia="Times New Roman" w:cs="Times New Roman" w:ascii="Times New Roman" w:hAnsi="Times New Roman"/>
        </w:rPr>
        <w:t>«Mi amigo, vecino, compañero mío, con el cual salíamos y nos hablábamos por teléfono todas las semanas. Él pasaba por acá… Porque él salía mucho. Agarraba una bolsita al principio y salía haciendo como que iba de compras, y salía a hacer sus caminatas. Él me invitaba. Yo le decía “mirá, la verdad que no tengo ganas”. (…) Pero él pasaba, le preguntaba al encargado cómo estaba, qué sé yo, y después hablábamos por... Todas las semanas hablábamos por teléfono, un rato. (…) Y un día no me llamó. Entonces, a la semana siguiente, lo llamo, me atiende la señora y… ¡y se había muerto! Le agarró y… Se lo llevó en una semana. Era, del grupo nuestro de “licianos”, el que mejor estaba físicamente.»</w:t>
      </w:r>
    </w:p>
    <w:p>
      <w:pPr>
        <w:pStyle w:val="Normal"/>
        <w:spacing w:lineRule="auto" w:line="240" w:before="0" w:after="120"/>
        <w:ind w:left="284" w:right="284"/>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284" w:right="-1"/>
        <w:jc w:val="both"/>
        <w:rPr>
          <w:rFonts w:ascii="Times New Roman" w:hAnsi="Times New Roman" w:cs="Times New Roman"/>
          <w:sz w:val="24"/>
          <w:szCs w:val="24"/>
        </w:rPr>
      </w:pPr>
      <w:r>
        <w:rPr>
          <w:rFonts w:cs="Times New Roman" w:ascii="Times New Roman" w:hAnsi="Times New Roman"/>
          <w:sz w:val="24"/>
          <w:szCs w:val="24"/>
        </w:rPr>
        <w:t>Con todo, bajo este contexto también se abrieron nuevas facetas en la vida de Aníbal. Al suspenderse las clases presenciales, su profesora tuvo la iniciativa de conformar un grupo con otras personas con capacidades visuales reducidas, con quienes sostendrían reuniones semanales a través de Zoom. De esta forma, el aislamiento motivó a que esos encuentros, que antes eran individuales, se volvieran colectivos. Algunas de estas reuniones consistirían, por ejemplo, en debates a partir de películas u obras de teatro con audiodescripción. Esta práctica, que supuso para Aníbal el desarrollo de otras habilidades digitales, instauró un espacio de sociabilidad especialmente significativo para él. En este marco no solo pudo conformar nuevos lazos sociales sino, todavía más, logró reelaborar los sentidos -hasta entonces marcadamente negativos- que asociaba a su condición.</w:t>
      </w:r>
    </w:p>
    <w:p>
      <w:pPr>
        <w:pStyle w:val="Normal"/>
        <w:spacing w:lineRule="auto" w:line="360"/>
        <w:ind w:right="-1"/>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120"/>
        <w:ind w:left="567" w:right="425"/>
        <w:jc w:val="both"/>
        <w:rPr>
          <w:rFonts w:ascii="Times New Roman" w:hAnsi="Times New Roman" w:eastAsia="Times New Roman" w:cs="Times New Roman"/>
        </w:rPr>
      </w:pPr>
      <w:r>
        <w:rPr>
          <w:rFonts w:eastAsia="Times New Roman" w:cs="Times New Roman" w:ascii="Times New Roman" w:hAnsi="Times New Roman"/>
        </w:rPr>
        <w:t xml:space="preserve">«Somos cuatro ciegos. No nos conocemos. No hemos tenido oportunidad de encontrarnos todavía, pero armamos un grupo fantástico, que me cambió la vida. Me dio una nueva perspectiva, ¿no? No es lo mismo hablar con un vidente que con un no vidente. Hablamos el mismo idioma y tenemos los mismos problemas. (…) Te juro que conocemos más uno del otro que si nos conociéramos físicamente ¿no? Nos entregamos. Nos divertimos.» </w:t>
      </w:r>
    </w:p>
    <w:p>
      <w:pPr>
        <w:pStyle w:val="Normal"/>
        <w:spacing w:lineRule="auto" w:line="240" w:before="0" w:after="120"/>
        <w:ind w:left="284" w:right="425"/>
        <w:jc w:val="both"/>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ind w:firstLine="284"/>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Aunque al momento de la entrevista (a comienzos de 2022) consideraba que todavía estaba en gran medida recluido, con el pasar del tiempo Aníbal logró recuperar algunas salidas. Así, en el 2021 viajó con su esposa y su hija a Mar del Plata, donde hacía casi veinte años que no regresaba. Además, en el 2022 pudo asistir al primero de los almuerzos mensuales con sus compañeros del Liceo, acompañado ahora por su esposa.</w:t>
      </w:r>
    </w:p>
    <w:p>
      <w:pPr>
        <w:pStyle w:val="Normal"/>
        <w:spacing w:lineRule="auto" w:line="360"/>
        <w:ind w:firstLine="720"/>
        <w:jc w:val="both"/>
        <w:rPr>
          <w:rFonts w:ascii="Times New Roman" w:hAnsi="Times New Roman" w:eastAsia="Times New Roman" w:cs="Times New Roman"/>
          <w:sz w:val="24"/>
          <w:szCs w:val="24"/>
        </w:rPr>
      </w:pPr>
      <w:bookmarkStart w:id="7" w:name="_Hlk182836338"/>
      <w:r>
        <w:rPr>
          <w:rFonts w:eastAsia="Times New Roman" w:cs="Times New Roman" w:ascii="Times New Roman" w:hAnsi="Times New Roman"/>
          <w:sz w:val="24"/>
          <w:szCs w:val="24"/>
        </w:rPr>
        <w:t xml:space="preserve">La historia de Aníbal sugiere que, si el glaucoma conformó una primera bifurcación en su trayectoria biográfica, la pandemia pudo representar una segunda. Por una parte, las restricciones impuestas, los discursos sobre el riesgo, pero también el fallecimiento de sus amigos, contribuyeron a profundizar el sentido de su propia vulnerabilidad, que explicaba no solo en términos físicos sino también etarios. Esto continuó operando como una barrera para participar en actividades presenciales aun luego de finalizadas las medidas de aislamiento. Por otra parte, favorecido en última instancia por su clase social, pudo acceder a una serie de recursos que contribuyeron a preservar su bienestar y su autonomía. A este fin, las condiciones favorables de acceso y uso de tecnologías digitales jugaron un rol central frente al declive de su capacidad visual, habilitando el despliegue de actividades y relaciones sociales sumamente relevantes. En suma, la experiencia de Aníbal conjugó la pérdida súbita, irremplazable y profundamente angustiante de viejas amistades, con la ganancia inesperada de nuevos vínculos, a través de los cuales podría comenzar a resignificar esta etapa de su vida. </w:t>
      </w:r>
      <w:bookmarkEnd w:id="7"/>
    </w:p>
    <w:p>
      <w:pPr>
        <w:pStyle w:val="Normal"/>
        <w:spacing w:lineRule="auto" w:line="360" w:before="160" w:after="0"/>
        <w:jc w:val="both"/>
        <w:rPr>
          <w:rFonts w:ascii="Times New Roman" w:hAnsi="Times New Roman" w:cs="Times New Roman"/>
          <w:b/>
          <w:bCs/>
          <w:i/>
          <w:i/>
          <w:iCs/>
          <w:sz w:val="24"/>
          <w:szCs w:val="24"/>
        </w:rPr>
      </w:pPr>
      <w:r>
        <w:rPr>
          <w:rFonts w:cs="Times New Roman" w:ascii="Times New Roman" w:hAnsi="Times New Roman"/>
          <w:b/>
          <w:bCs/>
          <w:i/>
          <w:iCs/>
          <w:sz w:val="24"/>
          <w:szCs w:val="24"/>
        </w:rPr>
        <w:t xml:space="preserve">Carlos: el aislamiento como oportunidad para descubrir mundos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En el año 2020 la empresa fundada por Carlos promediaba las tres décadas de funcionamiento. Esta se dedicaba a la comercialización de vinos “exclusivos” (es decir, que no se distribuían masivamente en el mercado) y, para entonces, empleaba a más de setenta personas.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Nacido en el barrio porteño de Barracas, Carlos se involucró en el negocio vinícola durante su juventud, cuando desde la empresa financiera donde trabajaba lo designaron como gerente de una bodega de Mendoza. Este empleo conformó una auténtica bifurcación en su trayectoria biográfica, ya que a partir de allí desarrolló las relaciones y los conocimientos que le permitirían, en pocos años, iniciar junto con otros socios un emprendimiento propio. En este sentido consideraba que, aunque no contaba con un título universitario</w:t>
      </w:r>
      <w:r>
        <w:rPr>
          <w:rStyle w:val="FootnoteReference"/>
          <w:rFonts w:cs="Times New Roman" w:ascii="Times New Roman" w:hAnsi="Times New Roman"/>
          <w:sz w:val="24"/>
          <w:szCs w:val="24"/>
        </w:rPr>
        <w:footnoteReference w:id="6"/>
      </w:r>
      <w:r>
        <w:rPr>
          <w:rFonts w:cs="Times New Roman" w:ascii="Times New Roman" w:hAnsi="Times New Roman"/>
          <w:sz w:val="24"/>
          <w:szCs w:val="24"/>
        </w:rPr>
        <w:t xml:space="preserve">, «yo creo que me doctoró el vino».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Al describir el estallido de la pandemia, Carlos afirmaba que «las primeras 48 horas fueron de pánico». Esto lo atribuía no solo a la enfermedad, sino a la amenaza que planteaba para el futuro de la empresa la paralización total de sus operaciones. Sin embargo, esta situación duraría solo unas pocas semanas ya que, al comercializar un producto alimenticio, fueron eximidos del aislamiento y pronto pudieron retomar su distribución. Todavía más, lejos de disminuir, en el 2020 sus ventas aumentaron considerablemente: «Subió casi un 7% el consumo de vino, que es muy loco. (…) Favorecido por la pandemia. Favorecido por el “estar en casa”».</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Si bien Carlos era usuario de redes sociales antes de la pandemia, las empleaba de forma limitada porque para él cargaban una connotación más bien negativa (como espacios que promovían la agresividad). Sin embargo, su forma de vincularse con y a través de estos entornos se vio profundamente reconfigurada durante el aislamiento. Alentado por su hijo, pasó a verlos como una oportunidad para promover su desarrollo profesional. Bajo esta clave, la construcción de su perfil de Instagram fue un disparador para desarrollar una serie de habilidades digitales nuevas, tales como tomar y editar fotos y videos. Para ello recurrió tanto a espacios de aprendizaje formal (cursos virtuales) como informal (tutoriales en YouTube). A su vez, a través de esa red social pudo establecer relaciones y alcanzar audiencias que trascendían la localización geográfica y temporal inmediata (Boyd, 2007). En este sentido, sería posible afirmar que sus usos de tecnologías digitales le permitieron no solo sostener sino incluso expandir sus redes de sociabilidad, llevándolo a «descubrir un mundo».</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120"/>
        <w:ind w:left="709" w:right="284"/>
        <w:jc w:val="both"/>
        <w:rPr>
          <w:rFonts w:ascii="Times New Roman" w:hAnsi="Times New Roman" w:cs="Times New Roman"/>
        </w:rPr>
      </w:pPr>
      <w:r>
        <w:rPr>
          <w:rFonts w:cs="Times New Roman" w:ascii="Times New Roman" w:hAnsi="Times New Roman"/>
        </w:rPr>
        <w:t>«Mi hijo (…) me dice “papá, vos tenés que hacer tu Instagram”. Yo no, no… Facebook no me gustaba. No me gusta y no me gustaba la agresión de las redes. Y encontré otra felicidad, otro hallazgo. Porque mi Instagram es una felicidad para mí. (…) Yo me meto en Instagram, lo empiezo a armar, hablo con varios amigos. Me meto en YouTube, cómo se arma esto, cómo se arma aquello (…) Me miré infinidad, decenas y decenas de cosas para hacer. Y bueno… Y un día llamé a [</w:t>
      </w:r>
      <w:r>
        <w:rPr>
          <w:rFonts w:cs="Times New Roman" w:ascii="Times New Roman" w:hAnsi="Times New Roman"/>
          <w:i/>
          <w:iCs/>
        </w:rPr>
        <w:t>anonimizado</w:t>
      </w:r>
      <w:r>
        <w:rPr>
          <w:rFonts w:cs="Times New Roman" w:ascii="Times New Roman" w:hAnsi="Times New Roman"/>
        </w:rPr>
        <w:t xml:space="preserve">], que daba cursos de fotografía, que por esas cosas que te vas también metiendo en las redes. Y una cosa te lleva a la otra y ahí hice dos cursos de fotografía con celular. (…) Yo no te puedo decir que somos amigos, pero hicimos una relación muy linda, pero muy linda, y no nos conocemos personalmente. Hemos hecho vivos de Instagram, me hizo fotos. (…) Y lo mismo me pasó con una gente de la escuela gastronomía, con una… una gente de México. Yo descubrí un mundo». </w:t>
      </w:r>
    </w:p>
    <w:p>
      <w:pPr>
        <w:pStyle w:val="Normal"/>
        <w:spacing w:lineRule="auto" w:line="240" w:before="0" w:after="120"/>
        <w:ind w:left="284" w:right="284"/>
        <w:jc w:val="both"/>
        <w:rPr>
          <w:rFonts w:ascii="Times New Roman" w:hAnsi="Times New Roman" w:cs="Times New Roman"/>
        </w:rPr>
      </w:pPr>
      <w:r>
        <w:rPr>
          <w:rFonts w:cs="Times New Roman" w:ascii="Times New Roman" w:hAnsi="Times New Roman"/>
        </w:rPr>
      </w:r>
    </w:p>
    <w:p>
      <w:pPr>
        <w:pStyle w:val="Normal"/>
        <w:spacing w:lineRule="auto" w:line="360"/>
        <w:ind w:firstLine="284"/>
        <w:jc w:val="both"/>
        <w:rPr>
          <w:rFonts w:ascii="Times New Roman" w:hAnsi="Times New Roman" w:cs="Times New Roman"/>
          <w:sz w:val="24"/>
          <w:szCs w:val="24"/>
        </w:rPr>
      </w:pPr>
      <w:r>
        <w:rPr>
          <w:rFonts w:cs="Times New Roman" w:ascii="Times New Roman" w:hAnsi="Times New Roman"/>
          <w:sz w:val="24"/>
          <w:szCs w:val="24"/>
        </w:rPr>
        <w:t xml:space="preserve">Carlos atravesó el aislamiento, junto con su esposa, en su casa en el barrio de Paternal. Se trataba de una vivienda «muy grande», con varias habitaciones, terraza y parque, al frente y al fondo. Esos espacios abiertos fueron particularmente beneficiosos, ya que les sirvieron para tener reuniones familiares amparadas bajo ciertas medidas de cuidado. Así, Carlos reconocía en su situación habitacional una condición de privilegio, que facilitó su experiencia del aislamiento.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120"/>
        <w:ind w:left="567" w:right="284"/>
        <w:jc w:val="both"/>
        <w:rPr>
          <w:rFonts w:ascii="Times New Roman" w:hAnsi="Times New Roman" w:cs="Times New Roman"/>
        </w:rPr>
      </w:pPr>
      <w:r>
        <w:rPr>
          <w:rFonts w:cs="Times New Roman" w:ascii="Times New Roman" w:hAnsi="Times New Roman"/>
        </w:rPr>
        <w:t>«Yo no la pasé mal con el encierro. A mí me daba… [</w:t>
      </w:r>
      <w:r>
        <w:rPr>
          <w:rFonts w:cs="Times New Roman" w:ascii="Times New Roman" w:hAnsi="Times New Roman"/>
          <w:i/>
          <w:iCs/>
        </w:rPr>
        <w:t>pausa</w:t>
      </w:r>
      <w:r>
        <w:rPr>
          <w:rFonts w:cs="Times New Roman" w:ascii="Times New Roman" w:hAnsi="Times New Roman"/>
        </w:rPr>
        <w:t xml:space="preserve">] Me daba como vergüenza mi casa. (…) No es lo mismo esto que estar en un monoambiente (…) Porque yo tengo gente, gente amiga, que tiene menores posibilidades y la pasaron mucho peor que nosotros. Desde el </w:t>
      </w:r>
      <w:r>
        <w:rPr>
          <w:rFonts w:cs="Times New Roman" w:ascii="Times New Roman" w:hAnsi="Times New Roman"/>
          <w:i/>
          <w:iCs/>
        </w:rPr>
        <w:t>layout</w:t>
      </w:r>
      <w:r>
        <w:rPr>
          <w:rFonts w:cs="Times New Roman" w:ascii="Times New Roman" w:hAnsi="Times New Roman"/>
        </w:rPr>
        <w:t xml:space="preserve">, desde lo edilicio, estaban todas las condiciones dadas para que no tengamos problemas y no los tuvimos». </w:t>
      </w:r>
    </w:p>
    <w:p>
      <w:pPr>
        <w:pStyle w:val="Normal"/>
        <w:spacing w:lineRule="auto" w:line="240" w:before="0" w:after="120"/>
        <w:ind w:left="284" w:right="284"/>
        <w:jc w:val="both"/>
        <w:rPr>
          <w:highlight w:val="green"/>
        </w:rPr>
      </w:pPr>
      <w:r>
        <w:rPr>
          <w:highlight w:val="green"/>
        </w:rPr>
      </w:r>
    </w:p>
    <w:p>
      <w:pPr>
        <w:pStyle w:val="Normal"/>
        <w:spacing w:lineRule="auto" w:line="360"/>
        <w:ind w:firstLine="284"/>
        <w:jc w:val="both"/>
        <w:rPr>
          <w:rFonts w:ascii="Times New Roman" w:hAnsi="Times New Roman" w:cs="Times New Roman"/>
          <w:sz w:val="24"/>
          <w:szCs w:val="24"/>
        </w:rPr>
      </w:pPr>
      <w:r>
        <w:rPr>
          <w:rFonts w:cs="Times New Roman" w:ascii="Times New Roman" w:hAnsi="Times New Roman"/>
          <w:sz w:val="24"/>
          <w:szCs w:val="24"/>
        </w:rPr>
        <w:t>Con todo, para él los mayores problemas se concentraron en el ámbito familiar y se refirieron, particularmente, a los desacuerdos con sus hijos e hijas sobre las prácticas de cuidado. Durante los primeros dos a tres meses, Carlos y su esposa mantuvieron un aislamiento más estricto y sus familiares no ingresaron a la vivienda. Sin embargo, lo más difícil para ellos fue perder las visitas cotidianas de sus nietas: «Nosotros necesitábamos ver a las nenas, ¿cómo hacíamos?» La estrategia que desarrollaron para poder recibirlas fue conformar una burbuja con el hogar de una de sus hijas (madre de sus nietas). Esto supuso, como contracara, discusiones con el resto de sus hijos, que entendían que ello aumentaba el riesgo de exposición al virus.</w:t>
      </w:r>
    </w:p>
    <w:p>
      <w:pPr>
        <w:pStyle w:val="Normal"/>
        <w:spacing w:lineRule="auto" w:line="360"/>
        <w:jc w:val="both"/>
        <w:rPr/>
      </w:pPr>
      <w:r>
        <w:rPr/>
      </w:r>
    </w:p>
    <w:p>
      <w:pPr>
        <w:pStyle w:val="Normal"/>
        <w:spacing w:lineRule="auto" w:line="240" w:before="0" w:after="120"/>
        <w:ind w:left="567" w:right="284"/>
        <w:jc w:val="both"/>
        <w:rPr>
          <w:rFonts w:ascii="Times New Roman" w:hAnsi="Times New Roman" w:cs="Times New Roman"/>
        </w:rPr>
      </w:pPr>
      <w:r>
        <w:rPr>
          <w:rFonts w:cs="Times New Roman" w:ascii="Times New Roman" w:hAnsi="Times New Roman"/>
        </w:rPr>
        <w:t>«Se generaron en todas las familias cosas de enfrentamiento. Acá hubo mucho... Nosotros tuvimos que tomar un partido. Nosotros no podíamos dejar de ver a las nenas. Ahora van a cumplir… En ese momento tenían cuatro y un año. (…) A nosotros nos generó un ruido familiar, que pasó en muchas casas. Porque nosotros con [</w:t>
      </w:r>
      <w:r>
        <w:rPr>
          <w:rFonts w:cs="Times New Roman" w:ascii="Times New Roman" w:hAnsi="Times New Roman"/>
          <w:i/>
          <w:iCs/>
        </w:rPr>
        <w:t>su esposa</w:t>
      </w:r>
      <w:r>
        <w:rPr>
          <w:rFonts w:cs="Times New Roman" w:ascii="Times New Roman" w:hAnsi="Times New Roman"/>
        </w:rPr>
        <w:t>] tomamos una decisión: “vamos a hacer burbuja con [</w:t>
      </w:r>
      <w:r>
        <w:rPr>
          <w:rFonts w:cs="Times New Roman" w:ascii="Times New Roman" w:hAnsi="Times New Roman"/>
          <w:i/>
          <w:iCs/>
        </w:rPr>
        <w:t>su yerno</w:t>
      </w:r>
      <w:r>
        <w:rPr>
          <w:rFonts w:cs="Times New Roman" w:ascii="Times New Roman" w:hAnsi="Times New Roman"/>
        </w:rPr>
        <w:t>] y [</w:t>
      </w:r>
      <w:r>
        <w:rPr>
          <w:rFonts w:cs="Times New Roman" w:ascii="Times New Roman" w:hAnsi="Times New Roman"/>
          <w:i/>
          <w:iCs/>
        </w:rPr>
        <w:t>su hija</w:t>
      </w:r>
      <w:r>
        <w:rPr>
          <w:rFonts w:cs="Times New Roman" w:ascii="Times New Roman" w:hAnsi="Times New Roman"/>
        </w:rPr>
        <w:t>]”. (…) Aun no viviendo juntos. Entonces sí venían las nenas, que no iban a jardín ni a ningún lado. Y eso trajo conflictos con los demás hijos. (…) Yo tener que decirle a un hijo de 32 años: “mirá, yo elijo, ¡dejame elegir!”. ¡Dejame elegir! (…) Creo que a nosotros las nenas nos hicieron pasar una pandemia. Y, aparte, sabíamos que ayudábamos al papá y a la mamá».</w:t>
      </w:r>
    </w:p>
    <w:p>
      <w:pPr>
        <w:pStyle w:val="Normal"/>
        <w:spacing w:lineRule="auto" w:line="240" w:before="0" w:after="120"/>
        <w:ind w:left="284" w:right="284"/>
        <w:jc w:val="both"/>
        <w:rPr>
          <w:rFonts w:ascii="Times New Roman" w:hAnsi="Times New Roman" w:cs="Times New Roman"/>
        </w:rPr>
      </w:pPr>
      <w:r>
        <w:rPr>
          <w:rFonts w:cs="Times New Roman" w:ascii="Times New Roman" w:hAnsi="Times New Roman"/>
        </w:rPr>
      </w:r>
    </w:p>
    <w:p>
      <w:pPr>
        <w:pStyle w:val="Normal"/>
        <w:spacing w:lineRule="auto" w:line="360"/>
        <w:ind w:firstLine="284"/>
        <w:jc w:val="both"/>
        <w:rPr>
          <w:rFonts w:ascii="Times New Roman" w:hAnsi="Times New Roman" w:cs="Times New Roman"/>
          <w:sz w:val="24"/>
          <w:szCs w:val="24"/>
        </w:rPr>
      </w:pPr>
      <w:r>
        <w:rPr>
          <w:rFonts w:cs="Times New Roman" w:ascii="Times New Roman" w:hAnsi="Times New Roman"/>
          <w:sz w:val="24"/>
          <w:szCs w:val="24"/>
        </w:rPr>
        <w:t xml:space="preserve">Lo que se ponía en juego en esas disputas era la definición de los límites entre la dependencia y la autonomía de Carlos y su esposa, en tanto que personas mayores. Al calor de su inclusión entre los grupos de riesgo, las decisiones sobre su hogar </w:t>
      </w:r>
      <w:r>
        <w:rPr>
          <w:rFonts w:cs="Times New Roman"/>
        </w:rPr>
        <w:t>–</w:t>
      </w:r>
      <w:r>
        <w:rPr>
          <w:rFonts w:cs="Times New Roman" w:ascii="Times New Roman" w:hAnsi="Times New Roman"/>
          <w:sz w:val="24"/>
          <w:szCs w:val="24"/>
        </w:rPr>
        <w:t>y, en última instancia, sobre su propio cuidado</w:t>
      </w:r>
      <w:r>
        <w:rPr>
          <w:rFonts w:cs="Times New Roman"/>
        </w:rPr>
        <w:t>–</w:t>
      </w:r>
      <w:r>
        <w:rPr>
          <w:rFonts w:cs="Times New Roman" w:ascii="Times New Roman" w:hAnsi="Times New Roman"/>
          <w:sz w:val="24"/>
          <w:szCs w:val="24"/>
        </w:rPr>
        <w:t xml:space="preserve"> pasaron a ser objeto de consideración de toda la familia. A su vez, estas discusiones estuvieron lejos de zanjarse mediante posiciones taxativas. Los criterios para juzgar determinadas tareas domésticas y de cuidado como riesgosas o seguras, así como para establecer (o no) la redistribución de las cargas de cuidado al interior de la familia, resultaron con frecuencia contradictorios. Desde la perspectiva de Carlos, uno de estos contrasentidos surgió en torno a la gestión de las compras. Así, frente a los cuestionamientos de sus hijos, él objetaba: «yo nunca los tuve acá en la puerta para ir a comprar cosas al chino de la vuelta. ¡Al chino de la vuelta íbamos nosotros!». En consecuencia, es posible reconocer que los acuerdos familiares sobre el cuidado de las personas mayores durante el aislamiento estuvieron teñidos de ambigüedad.</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120"/>
        <w:ind w:left="567" w:right="284"/>
        <w:jc w:val="both"/>
        <w:rPr>
          <w:rFonts w:ascii="Times New Roman" w:hAnsi="Times New Roman" w:cs="Times New Roman"/>
        </w:rPr>
      </w:pPr>
      <w:r>
        <w:rPr>
          <w:rFonts w:cs="Times New Roman" w:ascii="Times New Roman" w:hAnsi="Times New Roman"/>
        </w:rPr>
        <w:t xml:space="preserve">«El único momento en que pasamos muy mal fue cuando se discutió en familia qué estaba bien y qué estaba mal. Y… ya más avanzada la pandemia, vos te reunías con tus amigos, pero yo no me podía juntar con mis nietas. ¿Cómo es esto? ¿Cómo es ese código? (…) Tuve una discusión altita con uno de mis hijos. (…) ¿Qué es lo que estamos discutiendo? Porque ¡yo no me quiero morir! ¡Yo no quiero que me agarre COVID! Claro. Estábamos hablando en la época que estaba </w:t>
      </w:r>
      <w:r>
        <w:rPr>
          <w:rFonts w:cs="Times New Roman" w:ascii="Times New Roman" w:hAnsi="Times New Roman"/>
          <w:i/>
          <w:iCs/>
        </w:rPr>
        <w:t>heavy</w:t>
      </w:r>
      <w:r>
        <w:rPr>
          <w:rFonts w:cs="Times New Roman" w:ascii="Times New Roman" w:hAnsi="Times New Roman"/>
        </w:rPr>
        <w:t xml:space="preserve"> </w:t>
      </w:r>
      <w:r>
        <w:rPr>
          <w:rFonts w:cs="Times New Roman" w:ascii="Times New Roman" w:hAnsi="Times New Roman"/>
          <w:i/>
          <w:iCs/>
        </w:rPr>
        <w:t>heavy</w:t>
      </w:r>
      <w:r>
        <w:rPr>
          <w:rFonts w:cs="Times New Roman" w:ascii="Times New Roman" w:hAnsi="Times New Roman"/>
        </w:rPr>
        <w:t>. Y ahí ellos te empiezan a hacer un inventario de todas las enfermedades que tenés vos y… y resulta que ellos sabían más que yo qué es lo que yo tenía. Era todo muy confuso, ¿viste? Todo muy confuso».</w:t>
      </w:r>
    </w:p>
    <w:p>
      <w:pPr>
        <w:pStyle w:val="Normal"/>
        <w:spacing w:lineRule="auto" w:line="240" w:before="0" w:after="120"/>
        <w:ind w:left="567" w:right="284"/>
        <w:jc w:val="both"/>
        <w:rPr>
          <w:rFonts w:ascii="Times New Roman" w:hAnsi="Times New Roman" w:cs="Times New Roman"/>
        </w:rPr>
      </w:pPr>
      <w:r>
        <w:rPr>
          <w:rFonts w:cs="Times New Roman" w:ascii="Times New Roman" w:hAnsi="Times New Roman"/>
        </w:rPr>
      </w:r>
    </w:p>
    <w:p>
      <w:pPr>
        <w:pStyle w:val="Normal"/>
        <w:spacing w:lineRule="auto" w:line="360"/>
        <w:ind w:firstLine="284" w:right="-1"/>
        <w:jc w:val="both"/>
        <w:rPr>
          <w:rFonts w:ascii="Times New Roman" w:hAnsi="Times New Roman" w:cs="Times New Roman"/>
          <w:sz w:val="24"/>
          <w:szCs w:val="24"/>
        </w:rPr>
      </w:pPr>
      <w:r>
        <w:rPr>
          <w:rFonts w:cs="Times New Roman" w:ascii="Times New Roman" w:hAnsi="Times New Roman"/>
          <w:sz w:val="24"/>
          <w:szCs w:val="24"/>
        </w:rPr>
        <w:t>Asimismo, estas discusiones no se circunscribieron a los momentos iniciales de la pandemia, sino que continuaron también en los períodos de mayor flexibilización, en torno a las primeras salidas. Así lo relataba Carlos, con motivo de su decisión de recibir la vacuna contra la gripe más adelante en el 2020.</w:t>
      </w:r>
    </w:p>
    <w:p>
      <w:pPr>
        <w:pStyle w:val="Normal"/>
        <w:spacing w:lineRule="auto" w:line="360"/>
        <w:ind w:right="-1"/>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120"/>
        <w:ind w:left="567" w:right="284"/>
        <w:jc w:val="both"/>
        <w:rPr>
          <w:rFonts w:ascii="Times New Roman" w:hAnsi="Times New Roman" w:cs="Times New Roman"/>
        </w:rPr>
      </w:pPr>
      <w:r>
        <w:rPr>
          <w:rFonts w:cs="Times New Roman" w:ascii="Times New Roman" w:hAnsi="Times New Roman"/>
        </w:rPr>
        <w:t>«Justo en la televisión empezaban a decir… Todavía no estaba la primera vacuna del COVID. Que, entre no salir y salir, los mayores… los del grupo de riesgo, los mayores de 60, a darse la vacuna de neumonía o de la gripe, era preferible salir a darse la vacuna de la gripe. Esa fue la primera vez que salí. (…) La mitad de mis hijos pensaba “¿cómo vas a salir?”, la otra me decía “andá, papá, y salí”. Y bueno, nada. Hasta que uno se rebela y dice ¡carajo! Yo tengo constitución propia y estoy plenamente…»</w:t>
      </w:r>
    </w:p>
    <w:p>
      <w:pPr>
        <w:pStyle w:val="Normal"/>
        <w:spacing w:lineRule="auto" w:line="240" w:before="0" w:after="120"/>
        <w:ind w:left="284" w:right="284"/>
        <w:jc w:val="both"/>
        <w:rPr>
          <w:rFonts w:ascii="Times New Roman" w:hAnsi="Times New Roman" w:cs="Times New Roman"/>
        </w:rPr>
      </w:pPr>
      <w:r>
        <w:rPr>
          <w:rFonts w:cs="Times New Roman" w:ascii="Times New Roman" w:hAnsi="Times New Roman"/>
        </w:rPr>
      </w:r>
    </w:p>
    <w:p>
      <w:pPr>
        <w:pStyle w:val="Normal"/>
        <w:spacing w:lineRule="auto" w:line="360"/>
        <w:ind w:firstLine="284"/>
        <w:jc w:val="both"/>
        <w:rPr>
          <w:rFonts w:ascii="Times New Roman" w:hAnsi="Times New Roman" w:cs="Times New Roman"/>
          <w:sz w:val="24"/>
          <w:szCs w:val="24"/>
        </w:rPr>
      </w:pPr>
      <w:r>
        <w:rPr>
          <w:rFonts w:cs="Times New Roman" w:ascii="Times New Roman" w:hAnsi="Times New Roman"/>
          <w:sz w:val="24"/>
          <w:szCs w:val="24"/>
        </w:rPr>
        <w:t>En los meses posteriores, Carlos y su esposa comenzarían «despacito a salir». Uno de sus primeros paseos fue al teatro, cuando eran apenas un puñado de personas en la sala. Más adelante se sumarían salidas a restaurantes e, incluso, a la cancha. Por otra parte, la pandemia tendría repercusiones duraderas sobre las actividades de la empresa, ya que la presencialidad no se restableció completamente en todas las áreas (por ejemplo, algunos trabajadores incorporaron un régimen mixto). A la vez, todavía en el 2022 no habían logrado retomar la organización de cursos presenciales y de eventos de degustación. En este sentido, la pandemia se conformó como una encrucijada, que Carlos ilustraría mediante la siguiente analogía:</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120"/>
        <w:ind w:left="567" w:right="284"/>
        <w:jc w:val="both"/>
        <w:rPr>
          <w:rFonts w:ascii="Times New Roman" w:hAnsi="Times New Roman" w:cs="Times New Roman"/>
        </w:rPr>
      </w:pPr>
      <w:r>
        <w:rPr>
          <w:rFonts w:cs="Times New Roman" w:ascii="Times New Roman" w:hAnsi="Times New Roman"/>
        </w:rPr>
        <w:t>«Cuando yo vuelvo a Barracas… De vez en cuando vuelvo a mi barrio. Paso con el auto. Pero volver, vos volvés… volvés pero ya no… pero tu lugar cambió. O hay algo que cambiaste vos, que ya te lo hace ver diferente. Y vamos a volver al mismo lugar, pero ya no es el mismo lugar. Me parece que no entender eso puede traer problemas.»</w:t>
      </w:r>
    </w:p>
    <w:p>
      <w:pPr>
        <w:pStyle w:val="Normal"/>
        <w:spacing w:lineRule="auto" w:line="240" w:before="0" w:after="120"/>
        <w:ind w:left="284" w:right="284"/>
        <w:jc w:val="both"/>
        <w:rPr>
          <w:rFonts w:ascii="Times New Roman" w:hAnsi="Times New Roman" w:cs="Times New Roman"/>
        </w:rPr>
      </w:pPr>
      <w:r>
        <w:rPr>
          <w:rFonts w:cs="Times New Roman" w:ascii="Times New Roman" w:hAnsi="Times New Roman"/>
        </w:rPr>
      </w:r>
    </w:p>
    <w:p>
      <w:pPr>
        <w:pStyle w:val="Normal"/>
        <w:spacing w:lineRule="auto" w:line="360"/>
        <w:ind w:firstLine="284"/>
        <w:jc w:val="both"/>
        <w:rPr>
          <w:rFonts w:ascii="Times New Roman" w:hAnsi="Times New Roman" w:cs="Times New Roman"/>
          <w:sz w:val="24"/>
          <w:szCs w:val="24"/>
        </w:rPr>
      </w:pPr>
      <w:r>
        <w:rPr>
          <w:rFonts w:cs="Times New Roman" w:ascii="Times New Roman" w:hAnsi="Times New Roman"/>
          <w:sz w:val="24"/>
          <w:szCs w:val="24"/>
        </w:rPr>
        <w:t xml:space="preserve">A modo de síntesis, la experiencia de Carlos sobre la pandemia fue favorecida por una acumulación de ventajas preexistentes, íntimamente asociadas con su posición de clase (tales como las características de su vivienda y de su actividad laboral). En virtud de ello, con el aislamiento no necesariamente empeoraron sus condiciones de trabajo y de vida. Su proceso de apropiación de Internet </w:t>
      </w:r>
      <w:r>
        <w:rPr>
          <w:rFonts w:cs="Times New Roman"/>
        </w:rPr>
        <w:t>–</w:t>
      </w:r>
      <w:r>
        <w:rPr>
          <w:rFonts w:cs="Times New Roman" w:ascii="Times New Roman" w:hAnsi="Times New Roman"/>
          <w:sz w:val="24"/>
          <w:szCs w:val="24"/>
        </w:rPr>
        <w:t>y de Instagram en particular</w:t>
      </w:r>
      <w:r>
        <w:rPr>
          <w:rFonts w:cs="Times New Roman"/>
        </w:rPr>
        <w:t>–</w:t>
      </w:r>
      <w:r>
        <w:rPr>
          <w:rFonts w:cs="Times New Roman" w:ascii="Times New Roman" w:hAnsi="Times New Roman"/>
          <w:sz w:val="24"/>
          <w:szCs w:val="24"/>
        </w:rPr>
        <w:t xml:space="preserve"> ilustra de forma paradigmática cómo este contexto pudo incluso significar una oportunidad, en ese caso, para desarrollar su actividad laboral, ampliar sus redes de sociabilidad y potenciar sus habilidades digitales. </w:t>
      </w:r>
    </w:p>
    <w:p>
      <w:pPr>
        <w:pStyle w:val="Normal"/>
        <w:spacing w:lineRule="auto" w:line="360"/>
        <w:ind w:firstLine="284"/>
        <w:jc w:val="both"/>
        <w:rPr>
          <w:rFonts w:ascii="Times New Roman" w:hAnsi="Times New Roman" w:cs="Times New Roman"/>
          <w:sz w:val="24"/>
          <w:szCs w:val="24"/>
        </w:rPr>
      </w:pPr>
      <w:bookmarkStart w:id="8" w:name="_Hlk182836323"/>
      <w:r>
        <w:rPr>
          <w:rFonts w:cs="Times New Roman" w:ascii="Times New Roman" w:hAnsi="Times New Roman"/>
          <w:sz w:val="24"/>
          <w:szCs w:val="24"/>
        </w:rPr>
        <w:t>Ahora bien, si su clase social podía representar una condición de privilegio, bajo este contexto particular su edad operaba en sentido contrario. Carlos y su esposa continuaron realizando, sin apoyos externos, todas las tareas domésticas y de cuidado de su hogar, e inclusive asumieron el cuidado de familiares externos al mismo (sus nietas). Sin embargo, ello no impidió que su capacidad de acción y decisión fuese, al menos, puesta en cuestión hacia el interior de su familia.</w:t>
      </w:r>
      <w:bookmarkEnd w:id="8"/>
    </w:p>
    <w:p>
      <w:pPr>
        <w:pStyle w:val="Normal"/>
        <w:spacing w:lineRule="auto" w:line="360" w:before="240" w:after="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Reflexiones finales</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Las historias de Elvira, Aníbal y Carlos ofrecen indicios sobre cómo transitar la pandemia como parte de los grupos de riesgo reconfiguró las condiciones para el ejercicio de su autonomía. En este sentido, abonan al reconocimiento de que esta última se define menos por atributos individuales, ligados a las capacidades físicas, y más por el entramado de condiciones y relaciones sociales a través de las cuales es posible (o no) llevar adelante decisiones y proyectos de vida. </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Sus historias sobre el aislamiento dan cuenta de algunas formas en que la preservación de la autonomía y el bienestar de las personas mayores pudo verse desafiada en ese contexto. En primer lugar, la necesidad de extremar las medidas de prevención supuso que debiera revisarse la organización de las tareas domésticas y de cuidado relativas a sus hogares. </w:t>
      </w:r>
      <w:bookmarkStart w:id="9" w:name="_Hlk194725360"/>
      <w:r>
        <w:rPr>
          <w:rFonts w:eastAsia="Times New Roman" w:cs="Times New Roman" w:ascii="Times New Roman" w:hAnsi="Times New Roman"/>
          <w:sz w:val="24"/>
          <w:szCs w:val="24"/>
        </w:rPr>
        <w:t>En los tres casos, el incremento en las necesidades de cuidado que resultó de esta reorganización fue absorbido, en mayor medida, por las familias</w:t>
      </w:r>
      <w:bookmarkEnd w:id="9"/>
      <w:r>
        <w:rPr>
          <w:rFonts w:eastAsia="Times New Roman" w:cs="Times New Roman" w:ascii="Times New Roman" w:hAnsi="Times New Roman"/>
          <w:sz w:val="24"/>
          <w:szCs w:val="24"/>
        </w:rPr>
        <w:t xml:space="preserve">. Junto con ello, las decisiones sobre qué tareas debían redistribuirse y cómo se resolvieron mediante acuerdos y conflictos con sus parientes, aun cuando no compartieran la vivienda. En los casos de Elvira y Aníbal </w:t>
      </w:r>
      <w:bookmarkStart w:id="10" w:name="_Hlk194150250"/>
      <w:r>
        <w:rPr>
          <w:rFonts w:eastAsia="Times New Roman" w:cs="Times New Roman" w:ascii="Times New Roman" w:hAnsi="Times New Roman"/>
          <w:sz w:val="24"/>
          <w:szCs w:val="24"/>
        </w:rPr>
        <w:t>esto devino en una mayor recarga sobre sus familiares directos</w:t>
      </w:r>
      <w:bookmarkEnd w:id="10"/>
      <w:r>
        <w:rPr>
          <w:rFonts w:eastAsia="Times New Roman" w:cs="Times New Roman" w:ascii="Times New Roman" w:hAnsi="Times New Roman"/>
          <w:sz w:val="24"/>
          <w:szCs w:val="24"/>
        </w:rPr>
        <w:t>; en especial su hija y su esposa, respectivamente. Así, si bien el análisis de las desigualdades relativas al género excede los límites de este capítulo, este hallazgo coincide con los antecedentes que postulan que durante la pandemia las mujeres experimentaron una mayor sobrecarga de cuidados (</w:t>
      </w:r>
      <w:r>
        <w:rPr>
          <w:rFonts w:cs="Times New Roman" w:ascii="Times New Roman" w:hAnsi="Times New Roman"/>
          <w:sz w:val="24"/>
          <w:szCs w:val="24"/>
        </w:rPr>
        <w:t>Moguillansky y Duek, 2024; Boniolo y Ojeda, 2024</w:t>
      </w:r>
      <w:r>
        <w:rPr>
          <w:rFonts w:eastAsia="Times New Roman" w:cs="Times New Roman" w:ascii="Times New Roman" w:hAnsi="Times New Roman"/>
          <w:sz w:val="24"/>
          <w:szCs w:val="24"/>
        </w:rPr>
        <w:t xml:space="preserve">). </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Al mismo tiempo, la experiencia de Aníbal sugiere que es necesario explorar en mayor profundidad cómo pudo transformarse, bajo este contexto, la participación del componente comunitario en el cuidado de las personas mayores. Por otra parte, la historia de Carlos permite recordar que, al interior de las redes de cuidado, las personas mayores pueden cumplir la doble condición de proveedoras y receptoras. En su caso, durante el aislamiento desempeñó más el primer rol que el segundo; lo que, en última instancia, contribuye a poner en entredicho el supuesto de que las familias </w:t>
      </w:r>
      <w:r>
        <w:rPr>
          <w:rFonts w:cs="Times New Roman" w:ascii="Times New Roman" w:hAnsi="Times New Roman"/>
          <w:sz w:val="24"/>
          <w:szCs w:val="24"/>
        </w:rPr>
        <w:t>«</w:t>
      </w:r>
      <w:r>
        <w:rPr>
          <w:rFonts w:eastAsia="Times New Roman" w:cs="Times New Roman" w:ascii="Times New Roman" w:hAnsi="Times New Roman"/>
          <w:sz w:val="24"/>
          <w:szCs w:val="24"/>
        </w:rPr>
        <w:t>nunca fallan</w:t>
      </w:r>
      <w:r>
        <w:rPr>
          <w:rFonts w:cs="Times New Roman" w:ascii="Times New Roman" w:hAnsi="Times New Roman"/>
          <w:sz w:val="24"/>
          <w:szCs w:val="24"/>
        </w:rPr>
        <w:t>»</w:t>
      </w:r>
      <w:r>
        <w:rPr>
          <w:rFonts w:eastAsia="Times New Roman" w:cs="Times New Roman" w:ascii="Times New Roman" w:hAnsi="Times New Roman"/>
          <w:sz w:val="24"/>
          <w:szCs w:val="24"/>
        </w:rPr>
        <w:t xml:space="preserve"> en el cuidado de sus miembros.</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En segundo lugar, si bien en los tres casos se reconocieron en una condición </w:t>
      </w:r>
      <w:r>
        <w:rPr>
          <w:rFonts w:cs="Times New Roman" w:ascii="Times New Roman" w:hAnsi="Times New Roman"/>
          <w:sz w:val="24"/>
          <w:szCs w:val="24"/>
        </w:rPr>
        <w:t>«</w:t>
      </w:r>
      <w:r>
        <w:rPr>
          <w:rFonts w:eastAsia="Times New Roman" w:cs="Times New Roman" w:ascii="Times New Roman" w:hAnsi="Times New Roman"/>
          <w:sz w:val="24"/>
          <w:szCs w:val="24"/>
        </w:rPr>
        <w:t>de riesgo</w:t>
      </w:r>
      <w:r>
        <w:rPr>
          <w:rFonts w:cs="Times New Roman" w:ascii="Times New Roman" w:hAnsi="Times New Roman"/>
          <w:sz w:val="24"/>
          <w:szCs w:val="24"/>
        </w:rPr>
        <w:t>»</w:t>
      </w:r>
      <w:r>
        <w:rPr>
          <w:rFonts w:eastAsia="Times New Roman" w:cs="Times New Roman" w:ascii="Times New Roman" w:hAnsi="Times New Roman"/>
          <w:sz w:val="24"/>
          <w:szCs w:val="24"/>
        </w:rPr>
        <w:t xml:space="preserve"> vinculada a su edad, ello no tuvo las mismas implicancias para todos. Para Aníbal la experiencia de la pandemia profundizó el sentido de su propia vulnerabilidad, de maneras que no se encontraron para Elvira ni Carlos. En consecuencia, cabe sugerir la posibilidad de que la articulación de esa condición con la edad cronológica y las capacidades funcionales haya incidido de manera diferencial en este sentido. </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Con todo, es importante destacar que, si bien de formas diversas, en las trayectorias biográficas de estas tres personas la pandemia conformó </w:t>
      </w:r>
      <w:bookmarkStart w:id="11" w:name="_Hlk194725433"/>
      <w:r>
        <w:rPr>
          <w:rFonts w:eastAsia="Times New Roman" w:cs="Times New Roman" w:ascii="Times New Roman" w:hAnsi="Times New Roman"/>
          <w:sz w:val="24"/>
          <w:szCs w:val="24"/>
        </w:rPr>
        <w:t xml:space="preserve">un punto de inflexión. A partir de este surgieron transformaciones irreversibles en sus espacios y redes de sociabilidad: lugares que no volvieron a ser los mismos, vínculos que se perdieron, instituciones que ya no funcionan como antes. </w:t>
      </w:r>
      <w:bookmarkEnd w:id="11"/>
      <w:r>
        <w:rPr>
          <w:rFonts w:eastAsia="Times New Roman" w:cs="Times New Roman" w:ascii="Times New Roman" w:hAnsi="Times New Roman"/>
          <w:sz w:val="24"/>
          <w:szCs w:val="24"/>
        </w:rPr>
        <w:t>En relación con ello, cabe preguntarse si la centralidad que tuvo el fallecimiento de pares generacionales (en su carácter extendido, súbito y en gran medida inesperado) puede conformar una marca distintiva de la experiencia de la pandemia para este grupo de edad.</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En tercer lugar, </w:t>
      </w:r>
      <w:bookmarkStart w:id="12" w:name="_Hlk194150336"/>
      <w:r>
        <w:rPr>
          <w:rFonts w:eastAsia="Times New Roman" w:cs="Times New Roman" w:ascii="Times New Roman" w:hAnsi="Times New Roman"/>
          <w:sz w:val="24"/>
          <w:szCs w:val="24"/>
        </w:rPr>
        <w:t>en todos los casos las tecnologías digitales aparecieron ocupando un rol central para el sostén de esos espacios y redes; contribuyendo a la promoción del bienestar y la autonomía durante el aislamiento</w:t>
      </w:r>
      <w:bookmarkEnd w:id="12"/>
      <w:r>
        <w:rPr>
          <w:rFonts w:eastAsia="Times New Roman" w:cs="Times New Roman" w:ascii="Times New Roman" w:hAnsi="Times New Roman"/>
          <w:sz w:val="24"/>
          <w:szCs w:val="24"/>
        </w:rPr>
        <w:t xml:space="preserve">. Todavía más, en aquellos casos donde no compartían la vivienda, estas tecnologías volvieron posible transitar el aislamiento con alguna forma de compañía. Sin embargo, esa posibilidad estuvo ligada a condiciones de acceso y uso desiguales en función de la clase social. Así, mientras que Elvira pudo realizar usos significativos pero acotados de estas tecnologías, Carlos y Aníbal alcanzaron a descubrir </w:t>
      </w:r>
      <w:r>
        <w:rPr>
          <w:rFonts w:cs="Times New Roman" w:ascii="Times New Roman" w:hAnsi="Times New Roman"/>
          <w:sz w:val="24"/>
          <w:szCs w:val="24"/>
        </w:rPr>
        <w:t>«</w:t>
      </w:r>
      <w:r>
        <w:rPr>
          <w:rFonts w:eastAsia="Times New Roman" w:cs="Times New Roman" w:ascii="Times New Roman" w:hAnsi="Times New Roman"/>
          <w:sz w:val="24"/>
          <w:szCs w:val="24"/>
        </w:rPr>
        <w:t>nuevos mundos</w:t>
      </w:r>
      <w:r>
        <w:rPr>
          <w:rFonts w:cs="Times New Roman" w:ascii="Times New Roman" w:hAnsi="Times New Roman"/>
          <w:sz w:val="24"/>
          <w:szCs w:val="24"/>
        </w:rPr>
        <w:t>»</w:t>
      </w:r>
      <w:r>
        <w:rPr>
          <w:rFonts w:eastAsia="Times New Roman" w:cs="Times New Roman" w:ascii="Times New Roman" w:hAnsi="Times New Roman"/>
          <w:sz w:val="24"/>
          <w:szCs w:val="24"/>
        </w:rPr>
        <w:t xml:space="preserve"> (favorecidos por un mejor equipamiento tecnológico, una mayor diversidad de habilidades digitales y el acceso a instancias de aprendizaje mediante las cuales continuaron potenciando esas habilidades).</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En síntesis, si la inclusión de las personas mayores entre los “grupos de riesgo” fue una medida que les reconocía una necesidad de mayores cuidados, al no ser acompañada de mecanismos que orientaran su redistribución por fuera de la familia (y contribuyeran, en última instancia, a preservar su autonomía), las descuidaba. Ahora bien, ello ocurrió en un contexto que, a nivel regional, se ha caracterizado por la escasez de políticas de cuidado y, como contracara, por la preeminencia de regímenes familiarizados (y feminizados). En consecuencia, si bien la pandemia configuró un contexto de excepción, estas problemáticas desbordan los límites de esa excepcionalidad. En este sentido, las paradojas y tensiones planteadas en torno al cuidado de las personas mayores pueden haberse visto agudizadas bajo ese contexto, pero de ninguna forma resultan privativas del mismo. La demanda de políticas de cuidado que redistribuyan sus cargas de forma más equitativa en la sociedad -y sean sensibles a la heterogeneidad de los procesos de envejecimiento- es un desafío que continúa pendiente en la pospandemia.</w:t>
      </w:r>
    </w:p>
    <w:sectPr>
      <w:footnotePr>
        <w:numFmt w:val="decimal"/>
      </w:footnote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ambria">
    <w:charset w:val="01"/>
    <w:family w:val="roman"/>
    <w:pitch w:val="variable"/>
  </w:font>
  <w:font w:name="Consolas">
    <w:charset w:val="01"/>
    <w:family w:val="roman"/>
    <w:pitch w:val="variable"/>
  </w:font>
  <w:font w:name="Tahoma">
    <w:charset w:val="01"/>
    <w:family w:val="roman"/>
    <w:pitch w:val="variable"/>
  </w:font>
  <w:font w:name="Liberation Sans">
    <w:altName w:val="Arial"/>
    <w:charset w:val="01"/>
    <w:family w:val="roman"/>
    <w:pitch w:val="variable"/>
  </w:font>
  <w:font w:name="Helvetica Neue">
    <w:charset w:val="01"/>
    <w:family w:val="roman"/>
    <w:pitch w:val="variable"/>
  </w:font>
  <w:font w:name="Times New Roman">
    <w:charset w:val="01"/>
    <w:family w:val="roman"/>
    <w:pitch w:val="variable"/>
  </w:font>
  <w:font w:name="Book Antiqua">
    <w:charset w:val="01"/>
    <w:family w:val="roman"/>
    <w:pitch w:val="variable"/>
  </w:font>
  <w:font w:name="IBMPlexSerif">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jc w:val="both"/>
        <w:rPr>
          <w:rFonts w:ascii="Times New Roman" w:hAnsi="Times New Roman" w:cs="Times New Roman"/>
        </w:rPr>
      </w:pPr>
      <w:r>
        <w:rPr>
          <w:rStyle w:val="Caracteresdenotaalpie"/>
        </w:rPr>
        <w:footnoteRef/>
      </w:r>
      <w:r>
        <w:rPr/>
        <w:t xml:space="preserve"> </w:t>
      </w:r>
      <w:r>
        <w:rPr>
          <w:rFonts w:cs="Times New Roman" w:ascii="Times New Roman" w:hAnsi="Times New Roman"/>
        </w:rPr>
        <w:t>Al respecto cabe destacar que Elvira no utilizaba redes sociales, entre otros motivos, porque las consideraba como espacios de excesiva publicitación de imágenes y contenidos violentos, que ella prefería “no ver” (</w:t>
      </w:r>
      <w:r>
        <w:rPr>
          <w:rFonts w:cs="IBMPlexSerif" w:ascii="IBMPlexSerif" w:hAnsi="IBMPlexSerif"/>
        </w:rPr>
        <w:t>«</w:t>
      </w:r>
      <w:r>
        <w:rPr>
          <w:rFonts w:cs="Times New Roman" w:ascii="Times New Roman" w:hAnsi="Times New Roman"/>
        </w:rPr>
        <w:t>¡no me gusta! ver lo que… lo que hay</w:t>
      </w:r>
      <w:r>
        <w:rPr>
          <w:rFonts w:cs="IBMPlexSerif" w:ascii="IBMPlexSerif" w:hAnsi="IBMPlexSerif"/>
        </w:rPr>
        <w:t>»</w:t>
      </w:r>
      <w:r>
        <w:rPr>
          <w:rFonts w:cs="Times New Roman" w:ascii="Times New Roman" w:hAnsi="Times New Roman"/>
        </w:rPr>
        <w:t>).</w:t>
      </w:r>
    </w:p>
  </w:footnote>
  <w:footnote w:id="3">
    <w:p>
      <w:pPr>
        <w:pStyle w:val="FootnoteText"/>
        <w:spacing w:lineRule="auto" w:line="276"/>
        <w:jc w:val="both"/>
        <w:rPr>
          <w:rFonts w:ascii="Times New Roman" w:hAnsi="Times New Roman" w:cs="Times New Roman"/>
          <w:sz w:val="22"/>
          <w:szCs w:val="22"/>
          <w:lang w:val="es-ES"/>
        </w:rPr>
      </w:pPr>
      <w:r>
        <w:rPr>
          <w:rStyle w:val="Caracteresdenotaalpie"/>
        </w:rPr>
        <w:footnoteRef/>
      </w:r>
      <w:r>
        <w:rPr>
          <w:rFonts w:cs="Times New Roman" w:ascii="Times New Roman" w:hAnsi="Times New Roman"/>
          <w:sz w:val="22"/>
          <w:szCs w:val="22"/>
        </w:rPr>
        <w:t xml:space="preserve"> </w:t>
      </w:r>
      <w:r>
        <w:rPr>
          <w:rFonts w:cs="Times New Roman" w:ascii="Times New Roman" w:hAnsi="Times New Roman"/>
          <w:sz w:val="22"/>
          <w:szCs w:val="22"/>
        </w:rPr>
        <w:t>L</w:t>
      </w:r>
      <w:r>
        <w:rPr>
          <w:rFonts w:cs="Times New Roman" w:ascii="Times New Roman" w:hAnsi="Times New Roman"/>
          <w:sz w:val="22"/>
          <w:szCs w:val="22"/>
          <w:lang w:val="es-ES"/>
        </w:rPr>
        <w:t>a célula es la unidad mínima de organización de muchas iglesias evangélicas pentecostales en Argentina (Algranti, 2010). Se trata de un grupo pequeño de miembros de la iglesia, normalmente organizada por edad, género, estado civil y tareas desempeñadas en la institución. Funciona como espacio de sociabilidad y de “parentesco espiritual”, que permite la evangelización y compartir experiencias vitales.</w:t>
      </w:r>
    </w:p>
  </w:footnote>
  <w:footnote w:id="4">
    <w:p>
      <w:pPr>
        <w:pStyle w:val="FootnoteText"/>
        <w:spacing w:lineRule="auto" w:line="276"/>
        <w:jc w:val="both"/>
        <w:rPr>
          <w:lang w:val="es-ES"/>
        </w:rPr>
      </w:pPr>
      <w:r>
        <w:rPr>
          <w:rStyle w:val="Caracteresdenotaalpie"/>
        </w:rPr>
        <w:footnoteRef/>
      </w:r>
      <w:r>
        <w:rPr/>
        <w:t xml:space="preserve"> </w:t>
      </w:r>
      <w:r>
        <w:rPr>
          <w:rFonts w:cs="Times New Roman" w:ascii="Times New Roman" w:hAnsi="Times New Roman"/>
          <w:lang w:val="es-ES"/>
        </w:rPr>
        <w:t>Un práctico es un capitán que asesora a otros capitanes para realizar maniobras en lugares de navegación complejos, como puertos o ríos (Borrelli, 2022).</w:t>
      </w:r>
    </w:p>
  </w:footnote>
  <w:footnote w:id="5">
    <w:p>
      <w:pPr>
        <w:pStyle w:val="FootnoteText"/>
        <w:spacing w:lineRule="auto" w:line="276"/>
        <w:jc w:val="both"/>
        <w:rPr>
          <w:rFonts w:ascii="Times New Roman" w:hAnsi="Times New Roman" w:cs="Times New Roman"/>
          <w:lang w:val="es-ES"/>
        </w:rPr>
      </w:pPr>
      <w:r>
        <w:rPr>
          <w:rStyle w:val="Caracteresdenotaalpie"/>
        </w:rPr>
        <w:footnoteRef/>
      </w:r>
      <w:r>
        <w:rPr/>
        <w:t xml:space="preserve"> </w:t>
      </w:r>
      <w:r>
        <w:rPr>
          <w:rFonts w:cs="Times New Roman" w:ascii="Times New Roman" w:hAnsi="Times New Roman"/>
          <w:lang w:val="es-ES"/>
        </w:rPr>
        <w:t xml:space="preserve">Antes del glaucoma, Aníbal había sido un usuario asiduo de la computadora, la cual había aprendido a usar de manera autodidacta. Como parte de las prácticas digitales que asociaba a este artefacto, antes de que existieran las redes sociales, había conformado un grupo de intercambio por correo electrónico con jubilados de España. Sin embargo, al perder la visión, encontró en el manejo del teclado una barrera para usar este dispositivo. Así, indicaría que durante la pandemia no usó la computadora y se contactó poco por correo electrónico, ligando esto último a la composición etaria del grupo: </w:t>
      </w:r>
      <w:r>
        <w:rPr>
          <w:rFonts w:cs="Times New Roman" w:ascii="Times New Roman" w:hAnsi="Times New Roman"/>
          <w:sz w:val="24"/>
          <w:szCs w:val="24"/>
          <w:lang w:val="es-ES"/>
        </w:rPr>
        <w:t>«</w:t>
      </w:r>
      <w:r>
        <w:rPr>
          <w:rFonts w:cs="Times New Roman" w:ascii="Times New Roman" w:hAnsi="Times New Roman"/>
          <w:lang w:val="es-ES"/>
        </w:rPr>
        <w:t>mails casi no, solamente algunos que me quedan. Imagínate que, a mi edad, ya vamos quedando pocos</w:t>
      </w:r>
      <w:r>
        <w:rPr>
          <w:rFonts w:cs="Times New Roman" w:ascii="Times New Roman" w:hAnsi="Times New Roman"/>
          <w:sz w:val="24"/>
          <w:szCs w:val="24"/>
          <w:lang w:val="es-ES"/>
        </w:rPr>
        <w:t>».</w:t>
      </w:r>
    </w:p>
  </w:footnote>
  <w:footnote w:id="6">
    <w:p>
      <w:pPr>
        <w:pStyle w:val="FootnoteText"/>
        <w:jc w:val="both"/>
        <w:rPr>
          <w:rFonts w:ascii="Times New Roman" w:hAnsi="Times New Roman" w:cs="Times New Roman"/>
          <w:lang w:val="es-ES"/>
        </w:rPr>
      </w:pPr>
      <w:r>
        <w:rPr>
          <w:rStyle w:val="Caracteresdenotaalpie"/>
        </w:rPr>
        <w:footnoteRef/>
      </w:r>
      <w:r>
        <w:rPr>
          <w:rFonts w:cs="Times New Roman" w:ascii="Times New Roman" w:hAnsi="Times New Roman"/>
        </w:rPr>
        <w:t xml:space="preserve"> </w:t>
      </w:r>
      <w:r>
        <w:rPr>
          <w:rFonts w:cs="Times New Roman" w:ascii="Times New Roman" w:hAnsi="Times New Roman"/>
          <w:lang w:val="es-ES"/>
        </w:rPr>
        <w:t xml:space="preserve">A pesar de que había cursado casi toda la carrera de Contador Público en la Universidad de Buenos Aires, la dejó faltándole unas pocas materias para recibirse </w:t>
      </w:r>
      <w:r>
        <w:rPr>
          <w:rFonts w:cs="Times New Roman" w:ascii="Times New Roman" w:hAnsi="Times New Roman"/>
          <w:sz w:val="24"/>
          <w:szCs w:val="24"/>
          <w:lang w:val="es-ES"/>
        </w:rPr>
        <w:t>«</w:t>
      </w:r>
      <w:r>
        <w:rPr>
          <w:rFonts w:cs="Times New Roman" w:ascii="Times New Roman" w:hAnsi="Times New Roman"/>
          <w:lang w:val="es-ES"/>
        </w:rPr>
        <w:t>porque yo quería ser diferente [</w:t>
      </w:r>
      <w:r>
        <w:rPr>
          <w:rFonts w:cs="Times New Roman" w:ascii="Times New Roman" w:hAnsi="Times New Roman"/>
          <w:i/>
          <w:iCs/>
          <w:lang w:val="es-ES"/>
        </w:rPr>
        <w:t>risas</w:t>
      </w:r>
      <w:r>
        <w:rPr>
          <w:rFonts w:cs="Times New Roman" w:ascii="Times New Roman" w:hAnsi="Times New Roman"/>
          <w:lang w:val="es-ES"/>
        </w:rPr>
        <w:t>]. Yo no quería seguir lo que seguía todo el mundo en aquel momento</w:t>
      </w:r>
      <w:r>
        <w:rPr>
          <w:rFonts w:cs="Times New Roman" w:ascii="Times New Roman" w:hAnsi="Times New Roman"/>
        </w:rPr>
        <w:t xml:space="preserve">». </w:t>
      </w:r>
    </w:p>
  </w:footnote>
</w:footnotes>
</file>

<file path=word/settings.xml><?xml version="1.0" encoding="utf-8"?>
<w:settings xmlns:w="http://schemas.openxmlformats.org/wordprocessingml/2006/main">
  <w:zoom w:percent="120"/>
  <w:defaultTabStop w:val="720"/>
  <w:autoHyphenation w:val="true"/>
  <w:footnotePr>
    <w:numFmt w:val="decimal"/>
    <w:footnote w:id="0"/>
    <w:footnote w:id="1"/>
  </w:footnotePr>
  <w:compat>
    <w:compatSetting w:name="compatibilityMode" w:uri="http://schemas.microsoft.com/office/word" w:val="12"/>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es-AR"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3c0ed3"/>
    <w:pPr>
      <w:widowControl/>
      <w:suppressAutoHyphens w:val="true"/>
      <w:bidi w:val="0"/>
      <w:spacing w:lineRule="auto" w:line="276" w:before="0" w:after="0"/>
      <w:jc w:val="left"/>
    </w:pPr>
    <w:rPr>
      <w:rFonts w:ascii="Arial" w:hAnsi="Arial" w:eastAsia="Arial" w:cs="Arial"/>
      <w:color w:val="auto"/>
      <w:kern w:val="0"/>
      <w:sz w:val="22"/>
      <w:szCs w:val="22"/>
      <w:lang w:val="es-ES" w:eastAsia="es-AR" w:bidi="ar-SA"/>
    </w:rPr>
  </w:style>
  <w:style w:type="paragraph" w:styleId="Heading1">
    <w:name w:val="Heading 1"/>
    <w:basedOn w:val="Normal"/>
    <w:next w:val="Normal"/>
    <w:uiPriority w:val="9"/>
    <w:qFormat/>
    <w:rsid w:val="003c0ed3"/>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rsid w:val="003c0ed3"/>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rsid w:val="003c0ed3"/>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3c0ed3"/>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3c0ed3"/>
    <w:pPr>
      <w:keepNext w:val="true"/>
      <w:keepLines/>
      <w:spacing w:before="240" w:after="80"/>
      <w:outlineLvl w:val="4"/>
    </w:pPr>
    <w:rPr>
      <w:color w:val="666666"/>
    </w:rPr>
  </w:style>
  <w:style w:type="paragraph" w:styleId="Heading6">
    <w:name w:val="Heading 6"/>
    <w:basedOn w:val="Normal"/>
    <w:next w:val="Normal"/>
    <w:uiPriority w:val="9"/>
    <w:semiHidden/>
    <w:unhideWhenUsed/>
    <w:qFormat/>
    <w:rsid w:val="003c0ed3"/>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TextocomentarioCar" w:customStyle="1">
    <w:name w:val="Texto comentario Car"/>
    <w:basedOn w:val="DefaultParagraphFont"/>
    <w:uiPriority w:val="99"/>
    <w:qFormat/>
    <w:rsid w:val="003c0ed3"/>
    <w:rPr>
      <w:sz w:val="20"/>
      <w:szCs w:val="20"/>
    </w:rPr>
  </w:style>
  <w:style w:type="character" w:styleId="annotationreference">
    <w:name w:val="annotation reference"/>
    <w:basedOn w:val="DefaultParagraphFont"/>
    <w:uiPriority w:val="99"/>
    <w:semiHidden/>
    <w:unhideWhenUsed/>
    <w:qFormat/>
    <w:rsid w:val="003c0ed3"/>
    <w:rPr>
      <w:sz w:val="16"/>
      <w:szCs w:val="16"/>
    </w:rPr>
  </w:style>
  <w:style w:type="character" w:styleId="TextonotapieCar" w:customStyle="1">
    <w:name w:val="Texto nota pie Car"/>
    <w:basedOn w:val="DefaultParagraphFont"/>
    <w:uiPriority w:val="99"/>
    <w:semiHidden/>
    <w:qFormat/>
    <w:rsid w:val="00c32751"/>
    <w:rPr>
      <w:rFonts w:ascii="Cambria" w:hAnsi="Cambria" w:eastAsia="Cambria" w:cs="" w:asciiTheme="minorHAnsi" w:cstheme="minorBidi" w:eastAsiaTheme="minorHAnsi" w:hAnsiTheme="minorHAnsi"/>
      <w:kern w:val="2"/>
      <w:sz w:val="20"/>
      <w:szCs w:val="20"/>
      <w:lang w:val="es-AR" w:eastAsia="en-US"/>
    </w:rPr>
  </w:style>
  <w:style w:type="character" w:styleId="Caracteresdenotaalpie">
    <w:name w:val="Caracteres de nota al pie"/>
    <w:uiPriority w:val="99"/>
    <w:semiHidden/>
    <w:unhideWhenUsed/>
    <w:qFormat/>
    <w:rsid w:val="00c32751"/>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c32751"/>
    <w:rPr>
      <w:color w:themeColor="hyperlink" w:val="0000FF"/>
      <w:u w:val="single"/>
    </w:rPr>
  </w:style>
  <w:style w:type="character" w:styleId="Ninguno" w:customStyle="1">
    <w:name w:val="Ninguno"/>
    <w:qFormat/>
    <w:rsid w:val="0051730b"/>
    <w:rPr>
      <w:lang w:val="es-ES_tradnl"/>
    </w:rPr>
  </w:style>
  <w:style w:type="character" w:styleId="AsuntodelcomentarioCar" w:customStyle="1">
    <w:name w:val="Asunto del comentario Car"/>
    <w:basedOn w:val="TextocomentarioCar"/>
    <w:link w:val="annotationsubject"/>
    <w:uiPriority w:val="99"/>
    <w:semiHidden/>
    <w:qFormat/>
    <w:rsid w:val="00992b22"/>
    <w:rPr>
      <w:rFonts w:ascii="Cambria" w:hAnsi="Cambria" w:eastAsia="Cambria" w:cs="" w:asciiTheme="minorHAnsi" w:cstheme="minorBidi" w:eastAsiaTheme="minorHAnsi" w:hAnsiTheme="minorHAnsi"/>
      <w:b/>
      <w:bCs/>
      <w:sz w:val="20"/>
      <w:szCs w:val="20"/>
      <w:lang w:val="es-AR" w:eastAsia="en-US"/>
    </w:rPr>
  </w:style>
  <w:style w:type="character" w:styleId="TextosinformatoCar" w:customStyle="1">
    <w:name w:val="Texto sin formato Car"/>
    <w:basedOn w:val="DefaultParagraphFont"/>
    <w:link w:val="PlainText"/>
    <w:uiPriority w:val="99"/>
    <w:qFormat/>
    <w:rsid w:val="00992b22"/>
    <w:rPr>
      <w:rFonts w:ascii="Consolas" w:hAnsi="Consolas" w:eastAsia="Calibri" w:cs="Times New Roman"/>
      <w:sz w:val="21"/>
      <w:szCs w:val="21"/>
      <w:lang w:val="en-US" w:eastAsia="en-US"/>
    </w:rPr>
  </w:style>
  <w:style w:type="character" w:styleId="Emphasis">
    <w:name w:val="Emphasis"/>
    <w:basedOn w:val="DefaultParagraphFont"/>
    <w:uiPriority w:val="20"/>
    <w:qFormat/>
    <w:rsid w:val="00992b22"/>
    <w:rPr>
      <w:i/>
      <w:iCs/>
    </w:rPr>
  </w:style>
  <w:style w:type="character" w:styleId="Strong">
    <w:name w:val="Strong"/>
    <w:basedOn w:val="DefaultParagraphFont"/>
    <w:uiPriority w:val="22"/>
    <w:qFormat/>
    <w:rsid w:val="00992b22"/>
    <w:rPr>
      <w:b/>
      <w:bCs/>
    </w:rPr>
  </w:style>
  <w:style w:type="character" w:styleId="UnresolvedMention" w:customStyle="1">
    <w:name w:val="Unresolved Mention"/>
    <w:basedOn w:val="DefaultParagraphFont"/>
    <w:uiPriority w:val="99"/>
    <w:semiHidden/>
    <w:unhideWhenUsed/>
    <w:qFormat/>
    <w:rsid w:val="00992b22"/>
    <w:rPr>
      <w:color w:val="605E5C"/>
      <w:shd w:fill="E1DFDD" w:val="clear"/>
    </w:rPr>
  </w:style>
  <w:style w:type="character" w:styleId="Hyperlink0" w:customStyle="1">
    <w:name w:val="Hyperlink.0"/>
    <w:basedOn w:val="Ninguno"/>
    <w:qFormat/>
    <w:rsid w:val="00132e52"/>
    <w:rPr>
      <w:u w:val="single"/>
      <w:lang w:val="es-ES_tradnl"/>
    </w:rPr>
  </w:style>
  <w:style w:type="character" w:styleId="Hyperlink1" w:customStyle="1">
    <w:name w:val="Hyperlink.1"/>
    <w:basedOn w:val="Ninguno"/>
    <w:qFormat/>
    <w:rsid w:val="00132e52"/>
    <w:rPr>
      <w:color w:val="0000EE"/>
      <w:u w:val="single"/>
      <w:lang w:val="es-ES_tradnl"/>
    </w:rPr>
  </w:style>
  <w:style w:type="character" w:styleId="Hyperlink2" w:customStyle="1">
    <w:name w:val="Hyperlink.2"/>
    <w:basedOn w:val="DefaultParagraphFont"/>
    <w:qFormat/>
    <w:rsid w:val="00132e52"/>
    <w:rPr>
      <w:color w:val="000000"/>
      <w:u w:val="single" w:color="0000FF"/>
    </w:rPr>
  </w:style>
  <w:style w:type="character" w:styleId="TextodegloboCar" w:customStyle="1">
    <w:name w:val="Texto de globo Car"/>
    <w:basedOn w:val="DefaultParagraphFont"/>
    <w:link w:val="BalloonText"/>
    <w:uiPriority w:val="99"/>
    <w:semiHidden/>
    <w:qFormat/>
    <w:rsid w:val="00b17de0"/>
    <w:rPr>
      <w:rFonts w:ascii="Tahoma" w:hAnsi="Tahoma" w:cs="Tahoma"/>
      <w:sz w:val="16"/>
      <w:szCs w:val="16"/>
    </w:rPr>
  </w:style>
  <w:style w:type="character" w:styleId="Caracteresdenotafinal">
    <w:name w:val="Caracteres de nota final"/>
    <w:qFormat/>
    <w:rPr>
      <w:vertAlign w:val="superscript"/>
    </w:rPr>
  </w:style>
  <w:style w:type="character" w:styleId="EndnoteReference">
    <w:name w:val="Endnote Reference"/>
    <w:rPr>
      <w:vertAlign w:val="superscript"/>
    </w:rPr>
  </w:style>
  <w:style w:type="paragraph" w:styleId="Ttulo">
    <w:name w:val="Título"/>
    <w:basedOn w:val="Normal"/>
    <w:next w:val="BodyText"/>
    <w:qFormat/>
    <w:pPr>
      <w:keepNext w:val="true"/>
      <w:spacing w:before="240" w:after="120"/>
    </w:pPr>
    <w:rPr>
      <w:rFonts w:ascii="Liberation Sans" w:hAnsi="Liberation Sans" w:eastAsia="Noto Sans CJK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ndice">
    <w:name w:val="Índice"/>
    <w:basedOn w:val="Normal"/>
    <w:qFormat/>
    <w:pPr>
      <w:suppressLineNumbers/>
    </w:pPr>
    <w:rPr>
      <w:rFonts w:cs="Arial Unicode MS"/>
    </w:rPr>
  </w:style>
  <w:style w:type="paragraph" w:styleId="Title">
    <w:name w:val="Title"/>
    <w:basedOn w:val="Normal"/>
    <w:next w:val="Normal"/>
    <w:uiPriority w:val="10"/>
    <w:qFormat/>
    <w:rsid w:val="003c0ed3"/>
    <w:pPr>
      <w:keepNext w:val="true"/>
      <w:keepLines/>
      <w:spacing w:before="0" w:after="60"/>
    </w:pPr>
    <w:rPr>
      <w:sz w:val="52"/>
      <w:szCs w:val="52"/>
    </w:rPr>
  </w:style>
  <w:style w:type="paragraph" w:styleId="Subtitle">
    <w:name w:val="Subtitle"/>
    <w:basedOn w:val="Normal"/>
    <w:next w:val="Normal"/>
    <w:uiPriority w:val="11"/>
    <w:qFormat/>
    <w:rsid w:val="003c0ed3"/>
    <w:pPr>
      <w:keepNext w:val="true"/>
      <w:keepLines/>
      <w:spacing w:before="0" w:after="320"/>
    </w:pPr>
    <w:rPr>
      <w:color w:val="666666"/>
      <w:sz w:val="30"/>
      <w:szCs w:val="30"/>
    </w:rPr>
  </w:style>
  <w:style w:type="paragraph" w:styleId="AnnotationText">
    <w:name w:val="Annotation Text"/>
    <w:basedOn w:val="Normal"/>
    <w:link w:val="TextocomentarioCar"/>
    <w:uiPriority w:val="99"/>
    <w:unhideWhenUsed/>
    <w:rsid w:val="003c0ed3"/>
    <w:pPr>
      <w:spacing w:lineRule="auto" w:line="240"/>
    </w:pPr>
    <w:rPr>
      <w:sz w:val="20"/>
      <w:szCs w:val="20"/>
    </w:rPr>
  </w:style>
  <w:style w:type="paragraph" w:styleId="ListParagraph">
    <w:name w:val="List Paragraph"/>
    <w:basedOn w:val="Normal"/>
    <w:uiPriority w:val="34"/>
    <w:qFormat/>
    <w:rsid w:val="00c32751"/>
    <w:pPr>
      <w:spacing w:lineRule="auto" w:line="259" w:before="0" w:after="160"/>
      <w:ind w:left="720"/>
      <w:contextualSpacing/>
    </w:pPr>
    <w:rPr>
      <w:rFonts w:ascii="Cambria" w:hAnsi="Cambria" w:eastAsia="Cambria" w:cs="" w:asciiTheme="minorHAnsi" w:cstheme="minorBidi" w:eastAsiaTheme="minorHAnsi" w:hAnsiTheme="minorHAnsi"/>
      <w:kern w:val="2"/>
      <w:lang w:val="es-AR" w:eastAsia="en-US"/>
    </w:rPr>
  </w:style>
  <w:style w:type="paragraph" w:styleId="FootnoteText" w:customStyle="1">
    <w:name w:val="Footnote Text"/>
    <w:link w:val="TextonotapieCar"/>
    <w:rsid w:val="0051730b"/>
    <w:pPr>
      <w:widowControl/>
      <w:suppressAutoHyphens w:val="true"/>
      <w:bidi w:val="0"/>
      <w:spacing w:lineRule="auto" w:line="240" w:before="0" w:after="0"/>
      <w:jc w:val="left"/>
    </w:pPr>
    <w:rPr>
      <w:rFonts w:ascii="Helvetica Neue" w:hAnsi="Helvetica Neue" w:eastAsia="Helvetica Neue" w:cs="Helvetica Neue"/>
      <w:color w:val="000000"/>
      <w:kern w:val="0"/>
      <w:sz w:val="22"/>
      <w:szCs w:val="22"/>
      <w:lang w:val="es-AR" w:eastAsia="es-AR" w:bidi="ar-SA"/>
    </w:rPr>
  </w:style>
  <w:style w:type="paragraph" w:styleId="Cuerpo" w:customStyle="1">
    <w:name w:val="Cuerpo"/>
    <w:qFormat/>
    <w:rsid w:val="0051730b"/>
    <w:pPr>
      <w:widowControl/>
      <w:suppressAutoHyphens w:val="true"/>
      <w:bidi w:val="0"/>
      <w:spacing w:lineRule="auto" w:line="240" w:before="0" w:after="0"/>
      <w:jc w:val="left"/>
    </w:pPr>
    <w:rPr>
      <w:rFonts w:ascii="Times New Roman" w:hAnsi="Times New Roman" w:eastAsia="Arial Unicode MS" w:cs="Arial Unicode MS"/>
      <w:color w:val="000000"/>
      <w:kern w:val="0"/>
      <w:sz w:val="24"/>
      <w:szCs w:val="24"/>
      <w:u w:val="none" w:color="000000"/>
      <w:lang w:val="es-AR" w:eastAsia="es-AR" w:bidi="ar-SA"/>
    </w:rPr>
  </w:style>
  <w:style w:type="paragraph" w:styleId="Poromisin" w:customStyle="1">
    <w:name w:val="Por omisión"/>
    <w:qFormat/>
    <w:rsid w:val="0051730b"/>
    <w:pPr>
      <w:widowControl/>
      <w:suppressAutoHyphens w:val="true"/>
      <w:bidi w:val="0"/>
      <w:spacing w:lineRule="auto" w:line="240" w:before="0" w:after="0"/>
      <w:jc w:val="left"/>
    </w:pPr>
    <w:rPr>
      <w:rFonts w:ascii="Helvetica Neue" w:hAnsi="Helvetica Neue" w:eastAsia="Helvetica Neue" w:cs="Helvetica Neue"/>
      <w:color w:val="000000"/>
      <w:kern w:val="0"/>
      <w:sz w:val="22"/>
      <w:szCs w:val="22"/>
      <w:lang w:val="es-AR" w:eastAsia="es-AR" w:bidi="ar-SA"/>
    </w:rPr>
  </w:style>
  <w:style w:type="paragraph" w:styleId="Default" w:customStyle="1">
    <w:name w:val="Default"/>
    <w:qFormat/>
    <w:rsid w:val="00992b22"/>
    <w:pPr>
      <w:widowControl/>
      <w:suppressAutoHyphens w:val="true"/>
      <w:bidi w:val="0"/>
      <w:spacing w:lineRule="auto" w:line="240" w:before="0" w:after="0"/>
      <w:jc w:val="left"/>
    </w:pPr>
    <w:rPr>
      <w:rFonts w:ascii="Book Antiqua" w:hAnsi="Book Antiqua" w:eastAsia="Cambria" w:cs="Book Antiqua" w:eastAsiaTheme="minorHAnsi"/>
      <w:color w:val="000000"/>
      <w:kern w:val="0"/>
      <w:sz w:val="24"/>
      <w:szCs w:val="24"/>
      <w:lang w:val="es-AR" w:eastAsia="en-US" w:bidi="ar-SA"/>
    </w:rPr>
  </w:style>
  <w:style w:type="paragraph" w:styleId="annotationsubject">
    <w:name w:val="annotation subject"/>
    <w:basedOn w:val="AnnotationText"/>
    <w:next w:val="AnnotationText"/>
    <w:link w:val="AsuntodelcomentarioCar"/>
    <w:uiPriority w:val="99"/>
    <w:semiHidden/>
    <w:unhideWhenUsed/>
    <w:qFormat/>
    <w:rsid w:val="00992b22"/>
    <w:pPr>
      <w:spacing w:before="0" w:after="160"/>
    </w:pPr>
    <w:rPr>
      <w:rFonts w:ascii="Cambria" w:hAnsi="Cambria" w:eastAsia="Cambria" w:cs="" w:asciiTheme="minorHAnsi" w:cstheme="minorBidi" w:eastAsiaTheme="minorHAnsi" w:hAnsiTheme="minorHAnsi"/>
      <w:b/>
      <w:bCs/>
      <w:lang w:val="es-AR" w:eastAsia="en-US"/>
    </w:rPr>
  </w:style>
  <w:style w:type="paragraph" w:styleId="PlainText">
    <w:name w:val="Plain Text"/>
    <w:basedOn w:val="Normal"/>
    <w:link w:val="TextosinformatoCar"/>
    <w:uiPriority w:val="99"/>
    <w:unhideWhenUsed/>
    <w:qFormat/>
    <w:rsid w:val="00992b22"/>
    <w:pPr>
      <w:spacing w:lineRule="auto" w:line="240"/>
    </w:pPr>
    <w:rPr>
      <w:rFonts w:ascii="Consolas" w:hAnsi="Consolas" w:eastAsia="Calibri" w:cs="Times New Roman"/>
      <w:sz w:val="21"/>
      <w:szCs w:val="21"/>
      <w:lang w:val="en-US" w:eastAsia="en-US"/>
    </w:rPr>
  </w:style>
  <w:style w:type="paragraph" w:styleId="Revision">
    <w:name w:val="Revision"/>
    <w:uiPriority w:val="99"/>
    <w:semiHidden/>
    <w:qFormat/>
    <w:rsid w:val="00992b22"/>
    <w:pPr>
      <w:widowControl/>
      <w:suppressAutoHyphens w:val="true"/>
      <w:bidi w:val="0"/>
      <w:spacing w:lineRule="auto" w:line="240" w:before="0" w:after="0"/>
      <w:jc w:val="left"/>
    </w:pPr>
    <w:rPr>
      <w:rFonts w:ascii="Cambria" w:hAnsi="Cambria" w:eastAsia="Cambria" w:cs="" w:asciiTheme="minorHAnsi" w:cstheme="minorBidi" w:eastAsiaTheme="minorHAnsi" w:hAnsiTheme="minorHAnsi"/>
      <w:color w:val="auto"/>
      <w:kern w:val="0"/>
      <w:sz w:val="22"/>
      <w:szCs w:val="22"/>
      <w:lang w:val="es-AR" w:eastAsia="en-US" w:bidi="ar-SA"/>
    </w:rPr>
  </w:style>
  <w:style w:type="paragraph" w:styleId="BalloonText">
    <w:name w:val="Balloon Text"/>
    <w:basedOn w:val="Normal"/>
    <w:link w:val="TextodegloboCar"/>
    <w:uiPriority w:val="99"/>
    <w:semiHidden/>
    <w:unhideWhenUsed/>
    <w:qFormat/>
    <w:rsid w:val="00b17de0"/>
    <w:pPr>
      <w:spacing w:lineRule="auto" w:line="240"/>
    </w:pPr>
    <w:rPr>
      <w:rFonts w:ascii="Tahoma" w:hAnsi="Tahoma" w:cs="Tahoma"/>
      <w:sz w:val="16"/>
      <w:szCs w:val="16"/>
    </w:rPr>
  </w:style>
  <w:style w:type="numbering" w:styleId="Ningunalista" w:default="1">
    <w:name w:val="Ninguna lista"/>
    <w:uiPriority w:val="99"/>
    <w:semiHidden/>
    <w:unhideWhenUsed/>
    <w:qFormat/>
  </w:style>
  <w:style w:type="table" w:default="1" w:styleId="Tablanormal">
    <w:name w:val="Normal Table"/>
    <w:uiPriority w:val="99"/>
    <w:semiHidden/>
    <w:unhideWhenUsed/>
    <w:qFormat/>
    <w:tblPr>
      <w:tblCellMar>
        <w:top w:w="0" w:type="dxa"/>
        <w:left w:w="108" w:type="dxa"/>
        <w:bottom w:w="0" w:type="dxa"/>
        <w:right w:w="108" w:type="dxa"/>
      </w:tblCellMar>
    </w:tblPr>
  </w:style>
  <w:style w:type="table" w:customStyle="1" w:styleId="TableNormal">
    <w:name w:val="Table Normal"/>
    <w:rsid w:val="003c0ed3"/>
    <w:tblPr>
      <w:tblCellMar>
        <w:top w:w="0" w:type="dxa"/>
        <w:left w:w="0" w:type="dxa"/>
        <w:bottom w:w="0" w:type="dxa"/>
        <w:right w:w="0" w:type="dxa"/>
      </w:tblCellMar>
    </w:tblPr>
  </w:style>
  <w:style w:type="table" w:styleId="Tablaconcuadrcula">
    <w:name w:val="Table Grid"/>
    <w:basedOn w:val="Tablanormal"/>
    <w:uiPriority w:val="39"/>
    <w:rsid w:val="00c32751"/>
    <w:pPr>
      <w:spacing w:line="240" w:lineRule="auto"/>
    </w:pPr>
    <w:rPr>
      <w:rFonts w:asciiTheme="minorHAnsi" w:hAnsiTheme="minorHAnsi" w:eastAsiaTheme="minorHAnsi" w:cstheme="minorBidi"/>
      <w:lang w:val="es-AR"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BF5AF3-8294-40A6-87AD-371033D93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Application>LibreOffice/24.2.7.2$Linux_X86_64 LibreOffice_project/420$Build-2</Application>
  <AppVersion>15.0000</AppVersion>
  <Pages>18</Pages>
  <Words>8114</Words>
  <Characters>42081</Characters>
  <CharactersWithSpaces>50144</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2026-06-08T18:46:00Z</dcterms:created>
  <dc:creator>user</dc:creator>
  <dc:description/>
  <dc:language>es-AR</dc:language>
  <cp:lastModifiedBy/>
  <dcterms:modified xsi:type="dcterms:W3CDTF">2026-09-16T17:18:07Z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