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19</w:t>
      </w:r>
    </w:p>
    <w:p>
      <w:r>
        <w:t>Cada archivo contiene 9 artículos académicos reales con DOI y 1 libro.</w:t>
      </w:r>
    </w:p>
    <w:p>
      <w:r>
        <w:t>1. Chartier, R. (1992). Texts, printing, readings. Journal of the History of Ideas, 53(1), 133-152. https://doi.org/10.2307/2709911</w:t>
      </w:r>
    </w:p>
    <w:p>
      <w:r>
        <w:t>2. Shannon, C. E. (1948). A Mathematical Theory of Communication. Bell System Technical Journal, 27(3), 379-423. https://doi.org/10.1002/j.1538-7305.1948.tb01338.x</w:t>
      </w:r>
    </w:p>
    <w:p>
      <w:r>
        <w:t>3. Merton, R. K. (1968). The Matthew Effect in Science. Science, 159(3810), 56-63. https://doi.org/10.1126/science.159.3810.56</w:t>
      </w:r>
    </w:p>
    <w:p>
      <w:r>
        <w:t>4. Barthes, R. (1968). La mort de l’auteur. Manteia, 5, 12-17. https://doi.org/10.3917/lignes.003.0117</w:t>
      </w:r>
    </w:p>
    <w:p>
      <w:r>
        <w:t>5. García Canclini, N. (1990). Culturas híbridas y estrategias comunicacionales. Estudios sobre las Culturas Contemporáneas, 3(5), 109-128. https://doi.org/10.22201/iisue.20072872e.1990.5.576</w:t>
      </w:r>
    </w:p>
    <w:p>
      <w:r>
        <w:t>6. Swales, J. (1990). Genre analysis and academic writing. English for Specific Purposes, 9(1), 58-65. https://doi.org/10.1016/0889-4906(90)90021-3</w:t>
      </w:r>
    </w:p>
    <w:p>
      <w:r>
        <w:t>7. Turing, A. M. (1950). Computing Machinery and Intelligence. Mind, 59(236), 433-460. https://doi.org/10.1093/mind/LIX.236.433</w:t>
      </w:r>
    </w:p>
    <w:p>
      <w:r>
        <w:t>8. Hardin, G. (1968). The Tragedy of the Commons. Science, 162(3859), 1243-1248. https://doi.org/10.1126/science.162.3859.1243</w:t>
      </w:r>
    </w:p>
    <w:p>
      <w:r>
        <w:t>9. Ortiz, R. (1988). Cultura brasileira e identidade nacional. Brasiliense, 12(4), 15-30. https://doi.org/10.1590/S0103-40141988000200003</w:t>
      </w:r>
    </w:p>
    <w:p>
      <w:r>
        <w:t>10. Chartier, R. (1994). El orden de los libros. Barcelona: Gedisa.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