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right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PREPARADO PARA INVERSIONISTAS  |  CONFIDENCIAL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¿Por qué se van nuestros conductores?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Diagnóstico, modelo predictivo y plan de retención · Equipo de Análisis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C8A" w:sz="4"/>
              <w:left w:val="single" w:color="1F3A5F" w:sz="24"/>
              <w:bottom w:val="single" w:color="2E5C8A" w:sz="4"/>
              <w:right w:val="single" w:color="2E5C8A" w:sz="4"/>
            </w:tcBorders>
            <w:shd w:fill="F2F2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Resumen ejecutivo</w:t>
            </w:r>
          </w:p>
          <w:p>
            <w:pPr>
              <w:spacing w:after="12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El problema.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Uno de cada cuatro conductores (</w:t>
            </w: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24%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) abandona la plataforma. Para una operación que depende de oferta de drivers, esto compromete crecimiento, calidad de servicio y retorno sobre el costo de adquisición.</w:t>
            </w:r>
          </w:p>
          <w:p>
            <w:pPr>
              <w:spacing w:after="12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La causa raíz.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El churn no se explica por el monto del salario sino por la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brecha entre lo prometido y lo realizado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. Los conductores que se van ganan en promedio </w:t>
            </w:r>
            <w:r>
              <w:rPr>
                <w:rFonts w:ascii="Arial" w:cs="Arial" w:eastAsia="Arial" w:hAnsi="Arial"/>
                <w:b/>
                <w:bCs/>
                <w:color w:val="B33A3A"/>
                <w:sz w:val="22"/>
                <w:szCs w:val="22"/>
              </w:rPr>
              <w:t xml:space="preserve">18% menos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de lo que esperaban; los que se quedan, solo </w:t>
            </w:r>
            <w:r>
              <w:rPr>
                <w:rFonts w:ascii="Arial" w:cs="Arial" w:eastAsia="Arial" w:hAnsi="Arial"/>
                <w:b/>
                <w:bCs/>
                <w:color w:val="1F7A3F"/>
                <w:sz w:val="22"/>
                <w:szCs w:val="22"/>
              </w:rPr>
              <w:t xml:space="preserve">4% menos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. El problema es de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expectativas mal calibradas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no de competitividad salarial.</w:t>
            </w:r>
          </w:p>
          <w:p>
            <w:pPr>
              <w:spacing w:after="12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La solución.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Construimos un modelo predictivo (AUC = </w:t>
            </w: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0.78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en datos no vistos durante el entrenamiento) que identifica con anticipación al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top 20% de conductores en riesgo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concentrando </w:t>
            </w: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49% de los churners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reales. Una campaña dirigida a este grupo, con el cutoff que recomendamos,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ahorra ~$22K USD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frente a la alternativa más conservadora — y eso solo en la cohorte de prueba.</w:t>
            </w:r>
          </w:p>
        </w:tc>
      </w:tr>
    </w:tbl>
    <w:p>
      <w:pPr>
        <w:pBdr>
          <w:bottom w:val="single" w:color="1F3A5F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1.  El problema, en números</w:t>
      </w:r>
    </w:p>
    <w:p>
      <w:pPr>
        <w:spacing w:after="120" w:before="6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Analizamos a </w:t>
      </w: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1,046 conductores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usando información declarada al ingresar a la plataforma (edad, estado civil, hijos, salario esperado) e información actual (salario real). De esa muestra, </w:t>
      </w: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252 conductores (24.1%)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terminaron eliminando su cuenta.</w:t>
      </w:r>
    </w:p>
    <w:p>
      <w:pPr>
        <w:spacing w:after="120" w:before="6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Antes de modelar, dos patrones saltan a la vista en los datos crudos: el churn está fuertemente concentrado en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conductores solteros sin hijos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y crece dramáticamente entre quienes ganan menos de lo que esperaban.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Tasa de churn por perfil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400"/>
        <w:gridCol w:w="360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7D9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Perfil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7D9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Conductores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7D9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Tasa de churn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Casado, con hijos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309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F"/>
                <w:sz w:val="22"/>
                <w:szCs w:val="22"/>
              </w:rPr>
              <w:t xml:space="preserve">10.4%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Casado, sin hijos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22.4%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Soltero, con hijos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22.0%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Soltero, sin hijos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231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3A3A"/>
                <w:sz w:val="22"/>
                <w:szCs w:val="22"/>
              </w:rPr>
              <w:t xml:space="preserve">46.8%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1,046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24.1%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Tasa de churn por brecha entre salario esperado y real</w:t>
      </w:r>
    </w:p>
    <w:p>
      <w:pPr>
        <w:spacing w:after="120" w:before="6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Dividimos a los conductores en 10 grupos según qué tanto se quedaron cortos respecto a lo que esperaban ganar. La diferencia entre el grupo más decepcionado y el menos decepcionado es contundente: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00"/>
        <w:gridCol w:w="2560"/>
      </w:tblGrid>
      <w:tr>
        <w:trPr>
          <w:tblHeader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7D9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Brecha (esperado vs. real)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7D9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Conductores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7D9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Tasa de churn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Ganan más de lo esperado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105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F"/>
                <w:sz w:val="22"/>
                <w:szCs w:val="22"/>
              </w:rPr>
              <w:t xml:space="preserve">11.4%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Brecha pequeña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210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15.8%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Brecha moderada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313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16.4%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Brecha alta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209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30.1%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Brecha muy alta (decil más decepcionado)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105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3A3A"/>
                <w:sz w:val="22"/>
                <w:szCs w:val="22"/>
              </w:rPr>
              <w:t xml:space="preserve">55.2%</w:t>
            </w:r>
          </w:p>
        </w:tc>
      </w:tr>
    </w:tbl>
    <w:p>
      <w:pPr>
        <w:spacing w:after="60" w:before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grupo más decepcionado churnea </w:t>
      </w:r>
      <w:r>
        <w:rPr>
          <w:rFonts w:ascii="Arial" w:cs="Arial" w:eastAsia="Arial" w:hAnsi="Arial"/>
          <w:b/>
          <w:bCs/>
          <w:color w:val="B33A3A"/>
          <w:sz w:val="22"/>
          <w:szCs w:val="22"/>
        </w:rPr>
        <w:t xml:space="preserve">5x más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que el grupo que ganó por encima de su expectativa. Esto es la pista central del análisis y la base de las recomendaciones.</w:t>
      </w:r>
    </w:p>
    <w:p>
      <w:r>
        <w:br w:type="page"/>
      </w:r>
    </w:p>
    <w:p>
      <w:pPr>
        <w:pBdr>
          <w:bottom w:val="single" w:color="1F3A5F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2.  Lo que dice el modelo</w:t>
      </w:r>
    </w:p>
    <w:p>
      <w:pPr>
        <w:spacing w:after="120" w:before="6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Construimos un modelo de regresión logística (la herramienta estándar de la industria para este tipo de análisis) y validamos su desempeño en datos no vistos durante el entrenamiento. El modelo discrimina correctamente al </w:t>
      </w: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78% de los pares conductor-churn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(AUC = 0.78). La tabla siguiente traduce los coeficientes 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multiplicadores de riesgo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cuánto sube o baja la probabilidad relativa de churn cuando cambia cada variable, manteniendo todo lo demás constante.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Drivers del churn — modelo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39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7D9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Variable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7D9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Multiplicador de riesgo (odds)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7D9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Lectura de negocio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Brecha salarial (% esperado no recibido)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3A3A"/>
                <w:sz w:val="22"/>
                <w:szCs w:val="22"/>
              </w:rPr>
              <w:t xml:space="preserve">× 1.31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por cada +10 pp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 el driver más fuerte. Ajustar expectativas en onboarding rinde dividendos.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Estado civil = soltero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3A3A"/>
                <w:sz w:val="22"/>
                <w:szCs w:val="22"/>
              </w:rPr>
              <w:t xml:space="preserve">× 2.6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Solteros tienen casi 3 veces más riesgo que casados.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Tiene hijos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F"/>
                <w:sz w:val="22"/>
                <w:szCs w:val="22"/>
              </w:rPr>
              <w:t xml:space="preserve">× 0.36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Tener hijos reduce el riesgo a un tercio. Estabilidad familiar = retención.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Edad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3A3A"/>
                <w:sz w:val="22"/>
                <w:szCs w:val="22"/>
              </w:rPr>
              <w:t xml:space="preserve">× 1.09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por cada año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Conductores más jóvenes son más estables; el riesgo crece con la edad.</w:t>
            </w:r>
          </w:p>
        </w:tc>
      </w:tr>
    </w:tbl>
    <w:p>
      <w:pPr>
        <w:spacing w:after="100" w:before="1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Las cuatro variables son estadísticamente significativas con altísima confianza (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 &lt; 0.001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en todas). El hallazgo más importante para el negocio: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una vez que controlamos por la brecha salarial, el monto absoluto del salario deja de ser un buen predictor del churn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No es un problema de pagar poco; es un problema de prometer mal.</w:t>
      </w:r>
    </w:p>
    <w:p>
      <w:pPr>
        <w:pBdr>
          <w:bottom w:val="single" w:color="1F3A5F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3.  ¿Qué variable importa más? (y dónde gastar el dinero de campaña)</w:t>
      </w:r>
    </w:p>
    <w:p>
      <w:pPr>
        <w:spacing w:after="120" w:before="6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Los multiplicadores de riesgo de la sección anterior cuantifican el efecto, pero no son directamente comparables entre variables: cada una está en una escala distinta (años, brecha relativa, dummies). Para responder con rigor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¿qué variable importa más?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usamos cuatro métricas complementarias que sí son comparables. Si una variable lidera en las cuatro, la conclusión es robusta.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Las cuatro métricas, en lenguaje llano: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|Coeficiente estandarizado|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fuerza del efecto puesto en una escala común.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|z-statistic|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qué tan lejos está el coeficiente del cero, en unidades de error estándar.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Δ AUC al quitar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cuánto cae el poder predictivo si removemos esa variable del modelo.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Δ pseudo-R²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cuánto cae el poder explicativo.</w:t>
      </w:r>
    </w:p>
    <w:p>
      <w:pPr>
        <w:spacing w:after="120" w:before="6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Lectura.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La </w:t>
      </w: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brecha salarial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lidera en tres de las cuatro métricas: es el driver dominante por amplio margen. La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edad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es consistentemente la segunda variable más relevante.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Soltero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y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tener hijos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cierran el ranking, aunque con un detalle notable: tener hijos lidera el Δ AUC, lo que indica que aporta información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ortogonal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al resto — captura el lado “estable” del problema (estabilidad familiar) que las otras variables no explican.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3.1  De importancia estadística a prioridad de campaña</w:t>
      </w:r>
    </w:p>
    <w:p>
      <w:pPr>
        <w:spacing w:after="120" w:before="6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Hay un segundo filtro indispensable que el ranking puro no captura: la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accionabilidad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Las cuatro variables predicen el churn, pero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solo una de ellas la podemos cambiar con una intervención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Las otras tres son atributos demográficos que sirven para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segmentar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 quién contactar, pero no nos dicen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qué hacer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con cada quien.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conclusión operativa es directa: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 única palanca real de retención es la brecha salarial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Edad, estado civil y presencia de hijos identifican el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perfil de riesgo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sirven para decidir a quién priorizar — pero el contenido de la intervención tiene que atacar la decepción salarial. Si el presupuesto de campaña es limitado, el orden óptimo de gasto es: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1°.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Atacar la brecha salarial (palanca con mayor importancia y única accionable): comunicación realista en onboarding, garantía de ingresos en los primeros 60 días, alertas tempranas cuando un driver activo va por debajo de su expectativa.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2°.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Usar las variables demográficas para segmentar la entrega: el mismo bono pesa distinto según el perfil. Un driver soltero sin hijos de 35 años tiene riesgo base de ~70%; uno casado con hijos de 25, de ~10%. La intervención sobre la brecha debe ser más intensa en el primer perfil.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3°.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No invertir en intentar “cambiar” edad, estado civil o tener hijos. Son inputs, no outputs.</w:t>
      </w:r>
    </w:p>
    <w:p>
      <w:r>
        <w:br w:type="page"/>
      </w:r>
    </w:p>
    <w:p>
      <w:pPr>
        <w:pBdr>
          <w:bottom w:val="single" w:color="1F3A5F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4.  Plan de retención recomendado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4.1  Recalibrar expectativas en onboarding (palanca con mayor ROI)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Mostrar a candidatos rangos de ingresos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realistas por zona y horario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no el mejor caso. La transparencia inicial reduce la decepción posterior.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Garantía de ingresos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en los primeros 30–60 días para suavizar la brecha durante la curva de aprendizaje del conductor.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Sistema de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alertas tempranas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cuando un conductor activo lleva varias semanas debajo de su expectativa declarada, disparar intervención (bono, mejor asignación de viajes).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4.2  Campaña de retención en tres niveles</w:t>
      </w:r>
    </w:p>
    <w:p>
      <w:pPr>
        <w:spacing w:after="120" w:before="6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modelo permite ordenar a la base activa por probabilidad de churn. La tabla siguiente muestra los grupos de mayor riesgo en la cohorte de validación final: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7D9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Nivel de riesgo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7D9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% de la base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7D9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Tasa de churn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7D9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Acción recomendada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Crítico (top 10%)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3A3A"/>
                <w:sz w:val="22"/>
                <w:szCs w:val="22"/>
              </w:rPr>
              <w:t xml:space="preserve">71%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Contacto humano + bono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Alto (decil 2)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48%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Push + descuento de comisión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Medio (deciles 3-4)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26%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Comunicación segmentada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Bajo (resto)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F"/>
                <w:sz w:val="22"/>
                <w:szCs w:val="22"/>
              </w:rPr>
              <w:t xml:space="preserve">11%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 intervención</w:t>
            </w:r>
          </w:p>
        </w:tc>
      </w:tr>
    </w:tbl>
    <w:p>
      <w:pPr>
        <w:spacing w:before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Concentrando la intervención en el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top 20% de riesgo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capturamos a </w:t>
      </w: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casi la mitad de los churners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reales con un costo limitado de campaña.</w:t>
      </w:r>
    </w:p>
    <w:p>
      <w:r>
        <w:br w:type="page"/>
      </w:r>
    </w:p>
    <w:p>
      <w:pPr>
        <w:pBdr>
          <w:bottom w:val="single" w:color="1F3A5F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5.  Selección del cutoff: la metodología detrás del 0.15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5.1  Por qué la pregunta no es trivial</w:t>
      </w:r>
    </w:p>
    <w:p>
      <w:pPr>
        <w:spacing w:after="120" w:before="6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modelo no devuelve un sí/no, devuelve una probabilidad entre 0 y 1. El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cutoff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es el umbral a partir del cual decidimos intervenir. Tres referencias importan: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Cutoff por default = 0.50.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Es lo que produce el algoritmo si no se ajusta nada. Asume costos iguales entre errores y clases balanceadas — ninguno aplica acá.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Cutoff a priori = tasa base = 0.24.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Equivale a marcar como churner a quien tiene probabilidad superior al promedio de la base. Es el baseline metodológicamente neutral: no requiere mirar los datos de validación, así que no hay riesgo de overfitting.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Cutoff calibrado por economía.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Cuando los costos de equivocarse son asimétricos (perder a un churner cuesta 30× más que dar un bono innecesario), el óptimo se mueve por debajo de la tasa base.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5.2  Cómo lo elegimos sin caer en overfitting</w:t>
      </w:r>
    </w:p>
    <w:p>
      <w:pPr>
        <w:spacing w:after="120" w:before="6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Partimos los datos en tres conjuntos: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60% train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(estima los coeficientes),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20% validation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(selecciona el cutoff óptimo),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20% test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(auditoría final, mirado una sola vez). El cutoff se elige donde el costo es mínimo en validation; después se reportan métricas finales en test. Si las dos curvas son parecidas, el cutoff generaliza bien.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distancia constante entre ambas curvas confirma que la decisión es robusta: el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cutoff óptimo riguroso es 0.11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calibrado en validation. La pregunta del caso plantea elegir entre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0.15 y 0.30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ambos son razonables relativos al óptimo, pero 0.15 está mucho más cerca.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5.3  Comparación de los cuatro cutoffs en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300"/>
        <w:gridCol w:w="19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7D9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Cutoff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7D9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Recall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7D9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7D9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Falsos negativos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7D9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Costo neto esperado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(0.50)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33%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61%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3A3A"/>
                <w:sz w:val="22"/>
                <w:szCs w:val="22"/>
              </w:rPr>
              <w:t xml:space="preserve">34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3A3A"/>
                <w:sz w:val="22"/>
                <w:szCs w:val="22"/>
              </w:rPr>
              <w:t xml:space="preserve">+$44,750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(pésimo)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priori (0.24, tasa base)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71%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38%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15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3A3A"/>
                <w:sz w:val="22"/>
                <w:szCs w:val="22"/>
              </w:rPr>
              <w:t xml:space="preserve">+$11,050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(costo)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0.30 (caso)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65%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49%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18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3A3A"/>
                <w:sz w:val="22"/>
                <w:szCs w:val="22"/>
              </w:rPr>
              <w:t xml:space="preserve">+$15,500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(costo)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0.15 (caso)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F"/>
                <w:sz w:val="22"/>
                <w:szCs w:val="22"/>
              </w:rPr>
              <w:t xml:space="preserve">90%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34%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F"/>
                <w:sz w:val="22"/>
                <w:szCs w:val="22"/>
              </w:rPr>
              <w:t xml:space="preserve">−$6,400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(ahorro)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Óptimo en validation (0.11)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F"/>
                <w:sz w:val="22"/>
                <w:szCs w:val="22"/>
              </w:rPr>
              <w:t xml:space="preserve">96%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31%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F"/>
                <w:sz w:val="22"/>
                <w:szCs w:val="22"/>
              </w:rPr>
              <w:t xml:space="preserve">2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F"/>
                <w:sz w:val="22"/>
                <w:szCs w:val="22"/>
              </w:rPr>
              <w:t xml:space="preserve">−$11,250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(ahorro)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5.4  Matriz de confusión: la geometría del error en 0.15 vs 0.30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diferencia se ve directamente: a cutoff 0.15 quedan </w:t>
      </w:r>
      <w:r>
        <w:rPr>
          <w:rFonts w:ascii="Arial" w:cs="Arial" w:eastAsia="Arial" w:hAnsi="Arial"/>
          <w:b/>
          <w:bCs/>
          <w:color w:val="1F7A3F"/>
          <w:sz w:val="22"/>
          <w:szCs w:val="22"/>
        </w:rPr>
        <w:t xml:space="preserve">solo 5 churners no detectados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(FN), mientras que a 0.30 son </w:t>
      </w:r>
      <w:r>
        <w:rPr>
          <w:rFonts w:ascii="Arial" w:cs="Arial" w:eastAsia="Arial" w:hAnsi="Arial"/>
          <w:b/>
          <w:bCs/>
          <w:color w:val="B33A3A"/>
          <w:sz w:val="22"/>
          <w:szCs w:val="22"/>
        </w:rPr>
        <w:t xml:space="preserve">18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Cada uno de esos 13 conductores adicionales perdidos cuesta ~$1,500 USD entre adquirir reemplazo y valor de viajes futuros. El costo extra de los 56 falsos positivos adicionales que genera 0.15 es marginal: ~$50 USD cada uno.</w:t>
      </w:r>
    </w:p>
    <w:p>
      <w:pPr>
        <w:spacing w:after="80" w:before="16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Recomendación: cutoff 0.15.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Es la respuesta a la pregunta del caso, está cerca del óptimo riguroso (0.11), y supera por amplio margen al cutoff a priori (0.24) y al de la alternativa (0.30). La diferencia entre 0.15 y 0.30 es de </w:t>
      </w: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$21,900 USD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 favor de 0.15 — y eso solo en la muestra de validación de 210 conductores. A escala de la flota completa, el ahorro se multiplica.</w:t>
      </w:r>
    </w:p>
    <w:p>
      <w:r>
        <w:br w:type="page"/>
      </w:r>
    </w:p>
    <w:p>
      <w:pPr>
        <w:pBdr>
          <w:bottom w:val="single" w:color="1F3A5F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6.  Lo que este análisis NO puede contestar todavía</w:t>
      </w:r>
    </w:p>
    <w:p>
      <w:pPr>
        <w:spacing w:after="120" w:before="6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Somos transparentes sobre los límites del ejercicio: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Datos no longitudinales.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Sabemos quién churnea, pero no cuándo. Para un sistema de alertas en tiempo real necesitamos historial de actividad por driver.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Variables ausentes con alto potencial.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Antigüedad en la plataforma, frecuencia de viajes, rating del conductor, zona geográfica y tasa de cancelación. Estas señales suelen mover el AUC del 0.78 al 0.90+.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Asociación, no causalidad.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El modelo describe patrones; cualquier intervención debe validarse con un A/B test antes de escalar.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Tamaño de cada conjunto.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Con 1,046 observaciones partidas en 60/20/20, validation y test tienen ~210 cada uno. Para mayor estabilidad recomendaríamos cross-validation con K folds en producción; la conclusión cualitativa no cambia.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Cohorte estática.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Los coeficientes pueden moverse con la dinámica del mercado. El modelo necesita re-entrenarse periódicamente.</w:t>
      </w:r>
    </w:p>
    <w:p>
      <w:pPr>
        <w:pBdr>
          <w:bottom w:val="single" w:color="1F3A5F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7.  Próximos pasos sugeridos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Mes 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Implementar tablero de scoring semanal sobre la base activa, con segmentación en cuatro niveles de riesgo.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Mes 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Lanzar piloto de campaña con grupo de tratamiento y control sobre el top decil. Métrica: lift en retención a 90 días.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Mes 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Recalibrar comunicación de onboarding con rangos realistas; medir impacto en la tasa de decepción inicial de la siguiente cohorte.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Trimestre 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Enriquecer el modelo con datos conductuales (viajes, ratings, zona). Objetivo: AUC ≥ 0.90 y modelo de tiempo-hasta-churn.</w:t>
      </w:r>
    </w:p>
    <w:p>
      <w:pPr>
        <w:spacing w:after="160" w:before="0"/>
      </w:pPr>
      <w:r>
        <w:t xml:space="preserve"/>
      </w:r>
    </w:p>
    <w:p>
      <w:pPr>
        <w:pBdr>
          <w:top w:val="single" w:color="BFBFBF" w:sz="6" w:space="6"/>
        </w:pBdr>
        <w:spacing w:before="200"/>
      </w:pPr>
      <w:r>
        <w:rPr>
          <w:rFonts w:ascii="Arial" w:cs="Arial" w:eastAsia="Arial" w:hAnsi="Arial"/>
          <w:b/>
          <w:bCs/>
          <w:color w:val="666666"/>
          <w:sz w:val="16"/>
          <w:szCs w:val="16"/>
        </w:rPr>
        <w:t xml:space="preserve">Nota técnica. </w:t>
      </w: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Modelo: regresión logística sobre 1,046 observaciones con partición 60/20/20 estratificada (train/validation/test). Cutoff seleccionado por costo mínimo en validation, performance reportada en test. AUC en test = 0.78, pseudo-R² (McFadden) = 0.18, todos los coeficientes con p &lt; 0.001. La variable “brecha salarial relativa” fue construida como (esperado − real) ÷ esperado para eliminar la multicolinealidad entre los dos salarios y obtener coeficientes interpretables. Análisis económico de cutoff con costos asumidos de $1,500 USD por churner no detectado, $50 USD por intervención y 30% de tasa de éxito de retención; los supuestos son modificables con datos de operaciones.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2bd0c356ad45e775cfbe603d49e256f83be7594.png"/><Relationship Id="rId8" Type="http://schemas.openxmlformats.org/officeDocument/2006/relationships/image" Target="media/59497cdd40dd1a5473f9524228a6495ec0ebfd5c.png"/><Relationship Id="rId9" Type="http://schemas.openxmlformats.org/officeDocument/2006/relationships/image" Target="media/4af7ca3d9cb06217007e4329c6649010c840432e.png"/><Relationship Id="rId10" Type="http://schemas.openxmlformats.org/officeDocument/2006/relationships/image" Target="media/bea1c6a4135037d940401ecfc0ec9bcc50b25a0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Driver Churn — Resumen Ejecutivo v2</dc:title>
  <dc:creator>Driver Churn Analysis Team</dc:creator>
  <cp:lastModifiedBy>Un-named</cp:lastModifiedBy>
  <cp:revision>1</cp:revision>
  <dcterms:created xsi:type="dcterms:W3CDTF">2026-05-06T19:15:43.307Z</dcterms:created>
  <dcterms:modified xsi:type="dcterms:W3CDTF">2026-05-06T19:15:43.307Z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