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483D" w:rsidRDefault="00CC483D" w:rsidP="00CC483D">
      <w:pPr>
        <w:rPr>
          <w:rFonts w:eastAsia="Times New Roman"/>
        </w:rPr>
      </w:pPr>
    </w:p>
    <w:p w:rsidR="00CC483D" w:rsidRDefault="00CC483D" w:rsidP="00CC483D">
      <w:pPr>
        <w:rPr>
          <w:rFonts w:eastAsia="Times New Roman"/>
        </w:rPr>
      </w:pPr>
      <w:r>
        <w:rPr>
          <w:rFonts w:ascii="Arial" w:eastAsia="Times New Roman" w:hAnsi="Arial" w:cs="Arial"/>
          <w:sz w:val="20"/>
          <w:szCs w:val="20"/>
        </w:rPr>
        <w:t>                                                                                                                         </w:t>
      </w:r>
      <w:r>
        <w:rPr>
          <w:rStyle w:val="Forte"/>
          <w:rFonts w:ascii="Arial" w:eastAsia="Times New Roman" w:hAnsi="Arial" w:cs="Arial"/>
          <w:sz w:val="27"/>
          <w:szCs w:val="27"/>
        </w:rPr>
        <w:t>PERNAMBUCO-TRT - 1º TURNO</w:t>
      </w:r>
      <w:r>
        <w:rPr>
          <w:rFonts w:eastAsia="Times New Roman"/>
        </w:rPr>
        <w:t> </w:t>
      </w:r>
    </w:p>
    <w:p w:rsidR="00CC483D" w:rsidRDefault="00CC483D" w:rsidP="00CC483D">
      <w:pPr>
        <w:jc w:val="center"/>
        <w:rPr>
          <w:rFonts w:eastAsia="Times New Roman"/>
        </w:rPr>
      </w:pPr>
      <w:r>
        <w:rPr>
          <w:rFonts w:eastAsia="Times New Roman"/>
        </w:rPr>
        <w:pict>
          <v:rect id="_x0000_i1025" style="width:425.2pt;height:1.5pt" o:hralign="center" o:hrstd="t" o:hr="t" fillcolor="#a0a0a0" stroked="f"/>
        </w:pict>
      </w:r>
    </w:p>
    <w:p w:rsidR="00CC483D" w:rsidRDefault="00CC483D" w:rsidP="00CC483D">
      <w:pPr>
        <w:rPr>
          <w:rFonts w:eastAsia="Times New Roman"/>
        </w:rPr>
      </w:pPr>
      <w:r>
        <w:rPr>
          <w:rFonts w:ascii="Courier New" w:eastAsia="Times New Roman" w:hAnsi="Courier New" w:cs="Courier New"/>
          <w:sz w:val="20"/>
          <w:szCs w:val="20"/>
        </w:rPr>
        <w:t>CLIENTE: ANTONIO PLÁCIDO RODRIGUES MACIEL</w:t>
      </w:r>
    </w:p>
    <w:p w:rsidR="00CC483D" w:rsidRDefault="00CC483D" w:rsidP="00CC483D">
      <w:pPr>
        <w:jc w:val="center"/>
        <w:rPr>
          <w:rFonts w:ascii="Courier New" w:eastAsia="Times New Roman" w:hAnsi="Courier New" w:cs="Courier New"/>
          <w:sz w:val="20"/>
          <w:szCs w:val="20"/>
        </w:rPr>
      </w:pPr>
      <w:r>
        <w:rPr>
          <w:rFonts w:ascii="Courier New" w:eastAsia="Times New Roman" w:hAnsi="Courier New" w:cs="Courier New"/>
          <w:sz w:val="20"/>
          <w:szCs w:val="20"/>
        </w:rPr>
        <w:pict>
          <v:rect id="_x0000_i1026" style="width:425.2pt;height:1.5pt" o:hralign="center" o:hrstd="t" o:hr="t" fillcolor="#a0a0a0" stroked="f"/>
        </w:pict>
      </w:r>
    </w:p>
    <w:p w:rsidR="00CC483D" w:rsidRDefault="00CC483D" w:rsidP="00CC483D">
      <w:pPr>
        <w:rPr>
          <w:rFonts w:eastAsia="Times New Roman"/>
        </w:rPr>
      </w:pPr>
      <w:r>
        <w:rPr>
          <w:rFonts w:ascii="Courier New" w:eastAsia="Times New Roman" w:hAnsi="Courier New" w:cs="Courier New"/>
          <w:sz w:val="20"/>
          <w:szCs w:val="20"/>
        </w:rPr>
        <w:t xml:space="preserve">DIÁRIO: 1155   DATA DA DIVULGAÇÃO: 29/01/2013    DATA DA CIRCULAÇÃO (PUBLICAÇÃO): 30/01/2013  INÍCIO DE PRAZO: 31/01/2013 </w:t>
      </w:r>
    </w:p>
    <w:p w:rsidR="00CC483D" w:rsidRDefault="00CC483D" w:rsidP="00CC483D">
      <w:pPr>
        <w:jc w:val="center"/>
        <w:rPr>
          <w:rFonts w:eastAsia="Times New Roman"/>
        </w:rPr>
      </w:pPr>
      <w:r>
        <w:rPr>
          <w:rFonts w:eastAsia="Times New Roman"/>
        </w:rPr>
        <w:pict>
          <v:rect id="_x0000_i1027" style="width:425.2pt;height:1.5pt" o:hralign="center" o:hrstd="t" o:hr="t" fillcolor="#a0a0a0" stroked="f"/>
        </w:pict>
      </w:r>
    </w:p>
    <w:p w:rsidR="00CC483D" w:rsidRDefault="00CC483D" w:rsidP="00CC483D">
      <w:pPr>
        <w:rPr>
          <w:rFonts w:eastAsia="Times New Roman"/>
        </w:rPr>
      </w:pPr>
      <w:r>
        <w:rPr>
          <w:rFonts w:eastAsia="Times New Roman"/>
        </w:rPr>
        <w:t> </w:t>
      </w:r>
    </w:p>
    <w:p w:rsidR="00CC483D" w:rsidRDefault="00CC483D" w:rsidP="00CC483D">
      <w:pPr>
        <w:rPr>
          <w:rFonts w:eastAsia="Times New Roman"/>
        </w:rPr>
      </w:pPr>
      <w:r>
        <w:rPr>
          <w:rStyle w:val="Forte"/>
          <w:rFonts w:ascii="Arial" w:eastAsia="Times New Roman" w:hAnsi="Arial" w:cs="Arial"/>
          <w:color w:val="0000FF"/>
          <w:sz w:val="20"/>
          <w:szCs w:val="20"/>
          <w:u w:val="single"/>
        </w:rPr>
        <w:t>.1ª PÁGINA</w:t>
      </w:r>
    </w:p>
    <w:p w:rsidR="00CC483D" w:rsidRDefault="00CC483D" w:rsidP="00CC483D">
      <w:pPr>
        <w:rPr>
          <w:rFonts w:eastAsia="Times New Roman"/>
        </w:rPr>
      </w:pPr>
      <w:r>
        <w:rPr>
          <w:rFonts w:eastAsia="Times New Roman"/>
        </w:rPr>
        <w:t> </w:t>
      </w:r>
    </w:p>
    <w:p w:rsidR="00CC483D" w:rsidRDefault="00CC483D" w:rsidP="00CC483D">
      <w:pPr>
        <w:pStyle w:val="NormalWeb"/>
      </w:pPr>
      <w:r>
        <w:rPr>
          <w:rFonts w:ascii="Arial" w:hAnsi="Arial" w:cs="Arial"/>
          <w:b/>
          <w:bCs/>
          <w:sz w:val="18"/>
          <w:szCs w:val="18"/>
          <w:u w:val="single"/>
        </w:rPr>
        <w:t>TRIBUNAL REGIONAL DO TRABALHO</w:t>
      </w:r>
    </w:p>
    <w:p w:rsidR="00CC483D" w:rsidRDefault="00CC483D" w:rsidP="00CC483D">
      <w:pPr>
        <w:pStyle w:val="NormalWeb"/>
      </w:pPr>
      <w:r>
        <w:rPr>
          <w:rFonts w:ascii="Arial" w:hAnsi="Arial" w:cs="Arial"/>
          <w:b/>
          <w:bCs/>
          <w:sz w:val="18"/>
          <w:szCs w:val="18"/>
          <w:u w:val="single"/>
        </w:rPr>
        <w:t>Assessoria Jurídica da Presidência Despacho Despachos de admissibilidade de</w:t>
      </w:r>
      <w:r>
        <w:rPr>
          <w:rFonts w:ascii="Arial" w:hAnsi="Arial" w:cs="Arial"/>
          <w:sz w:val="18"/>
          <w:szCs w:val="18"/>
        </w:rPr>
        <w:t xml:space="preserve"> recursos de revista EDRR-000003/2013 De ordem de Suas Excelências a Desembargadora Presidente e o Desembargador Vice-Presidente do Tribunal Regional do Trabalho da Sexta Região, ficam intimadas as partes dos processos abaixo relacionados, para efeito de apresentação de </w:t>
      </w:r>
      <w:proofErr w:type="spellStart"/>
      <w:proofErr w:type="gramStart"/>
      <w:r>
        <w:rPr>
          <w:rFonts w:ascii="Arial" w:hAnsi="Arial" w:cs="Arial"/>
          <w:sz w:val="18"/>
          <w:szCs w:val="18"/>
        </w:rPr>
        <w:t>contra-razões</w:t>
      </w:r>
      <w:proofErr w:type="spellEnd"/>
      <w:proofErr w:type="gramEnd"/>
      <w:r>
        <w:rPr>
          <w:rFonts w:ascii="Arial" w:hAnsi="Arial" w:cs="Arial"/>
          <w:sz w:val="18"/>
          <w:szCs w:val="18"/>
        </w:rPr>
        <w:t xml:space="preserve"> ou de interposição de recurso, das seguintes decisões sobre a admissibilidade de recursos de revista. Recife, 29 de janeiro de 2013 FRANCISCO EXPEDITO GALINDO LIMA ASSESSORIA JURÍDICA DA </w:t>
      </w:r>
      <w:proofErr w:type="gramStart"/>
      <w:r>
        <w:rPr>
          <w:rFonts w:ascii="Arial" w:hAnsi="Arial" w:cs="Arial"/>
          <w:sz w:val="18"/>
          <w:szCs w:val="18"/>
        </w:rPr>
        <w:t>PRESIDÊNCIA</w:t>
      </w:r>
      <w:proofErr w:type="gramEnd"/>
    </w:p>
    <w:p w:rsidR="00CC483D" w:rsidRDefault="00CC483D" w:rsidP="00CC483D">
      <w:pPr>
        <w:pStyle w:val="NormalWeb"/>
      </w:pPr>
      <w:r>
        <w:rPr>
          <w:rFonts w:ascii="Arial" w:hAnsi="Arial" w:cs="Arial"/>
          <w:sz w:val="18"/>
          <w:szCs w:val="18"/>
        </w:rPr>
        <w:t> </w:t>
      </w:r>
    </w:p>
    <w:p w:rsidR="00CC483D" w:rsidRDefault="00CC483D" w:rsidP="00CC483D">
      <w:pPr>
        <w:pStyle w:val="NormalWeb"/>
      </w:pPr>
      <w:r>
        <w:rPr>
          <w:rFonts w:ascii="Verdana" w:hAnsi="Verdana"/>
          <w:sz w:val="18"/>
          <w:szCs w:val="18"/>
        </w:rPr>
        <w:t> </w:t>
      </w:r>
    </w:p>
    <w:p w:rsidR="00CC483D" w:rsidRDefault="00CC483D" w:rsidP="00CC483D">
      <w:pPr>
        <w:pStyle w:val="NormalWeb"/>
      </w:pPr>
      <w:r>
        <w:rPr>
          <w:rFonts w:ascii="Arial" w:hAnsi="Arial" w:cs="Arial"/>
          <w:sz w:val="18"/>
          <w:szCs w:val="18"/>
        </w:rPr>
        <w:t xml:space="preserve">Processo: 0000732-93.2011.5.06.0004PODER </w:t>
      </w:r>
      <w:proofErr w:type="gramStart"/>
      <w:r>
        <w:rPr>
          <w:rFonts w:ascii="Arial" w:hAnsi="Arial" w:cs="Arial"/>
          <w:sz w:val="18"/>
          <w:szCs w:val="18"/>
        </w:rPr>
        <w:t>JUDICIÁRIO JUSTIÇA</w:t>
      </w:r>
      <w:proofErr w:type="gramEnd"/>
      <w:r>
        <w:rPr>
          <w:rFonts w:ascii="Arial" w:hAnsi="Arial" w:cs="Arial"/>
          <w:sz w:val="18"/>
          <w:szCs w:val="18"/>
        </w:rPr>
        <w:t xml:space="preserve"> DO TRABALHO TRT 6a Região RO -0000732-93.2011.5.06.0004 - Tribunal Pleno Recurso de Revista Recorrente(s):M. SERVICE LTDA. EPP Advogado(a)(s):</w:t>
      </w:r>
      <w:r>
        <w:rPr>
          <w:rFonts w:ascii="Arial" w:hAnsi="Arial" w:cs="Arial"/>
          <w:b/>
          <w:bCs/>
          <w:sz w:val="18"/>
          <w:szCs w:val="18"/>
          <w:u w:val="single"/>
        </w:rPr>
        <w:t xml:space="preserve">Andréa Luzia Cavalcanti de Arruda </w:t>
      </w:r>
      <w:r>
        <w:rPr>
          <w:rFonts w:ascii="Arial" w:hAnsi="Arial" w:cs="Arial"/>
          <w:sz w:val="18"/>
          <w:szCs w:val="18"/>
        </w:rPr>
        <w:t>Coutinho (PE - 17498-D) Recorrido(a)(s):ROBSTON WALACE SOARES DE ANDRADE Advogado(a)(s):</w:t>
      </w:r>
      <w:r>
        <w:rPr>
          <w:rFonts w:ascii="Arial" w:hAnsi="Arial" w:cs="Arial"/>
          <w:b/>
          <w:bCs/>
          <w:sz w:val="18"/>
          <w:szCs w:val="18"/>
          <w:u w:val="single"/>
        </w:rPr>
        <w:t>Gilda Maria Mendes Caminha</w:t>
      </w:r>
      <w:r>
        <w:rPr>
          <w:rFonts w:ascii="Arial" w:hAnsi="Arial" w:cs="Arial"/>
          <w:sz w:val="18"/>
          <w:szCs w:val="18"/>
        </w:rPr>
        <w:t xml:space="preserve"> (PE - 12696-D) PRESSUPOSTOS EXTRÍNSECOS Trata-se de recurso de revista interposto contra acórdão proferido em julgamento de recurso ordinário. O apelo é tempestivo (decisão publicada em 28/11/2012 - fl. 370 - e apresentação da petição em 06/12/2012 - fl. 371). A representação processual está regularmente demonstrada (fls. 109). O mesmo ocorreu em relação ao preparo (fls. 318, 319, 320 e 386). PRESSUPOSTOS INTRÍNSECOS DIREITO PROCESSUAL PENAL / Ação Penal / Nulidade / Cerceamento de Defesa. Alegação(</w:t>
      </w:r>
      <w:proofErr w:type="spellStart"/>
      <w:r>
        <w:rPr>
          <w:rFonts w:ascii="Arial" w:hAnsi="Arial" w:cs="Arial"/>
          <w:sz w:val="18"/>
          <w:szCs w:val="18"/>
        </w:rPr>
        <w:t>ões</w:t>
      </w:r>
      <w:proofErr w:type="spellEnd"/>
      <w:r>
        <w:rPr>
          <w:rFonts w:ascii="Arial" w:hAnsi="Arial" w:cs="Arial"/>
          <w:sz w:val="18"/>
          <w:szCs w:val="18"/>
        </w:rPr>
        <w:t xml:space="preserve">): - violação do artigo 5º, LV, da Constituição da República; - violação dos artigos 193 da CLT; e - divergência jurisprudencial. A parte recorrente sustenta que, ao indeferir o pedido de esclarecimentos do laudo pericial, a autoridade sentenciante acabou por </w:t>
      </w:r>
      <w:proofErr w:type="spellStart"/>
      <w:r>
        <w:rPr>
          <w:rFonts w:ascii="Arial" w:hAnsi="Arial" w:cs="Arial"/>
          <w:sz w:val="18"/>
          <w:szCs w:val="18"/>
        </w:rPr>
        <w:t>cercear-lhe</w:t>
      </w:r>
      <w:proofErr w:type="spellEnd"/>
      <w:r>
        <w:rPr>
          <w:rFonts w:ascii="Arial" w:hAnsi="Arial" w:cs="Arial"/>
          <w:sz w:val="18"/>
          <w:szCs w:val="18"/>
        </w:rPr>
        <w:t xml:space="preserve"> seu direito à ampla defesa e ao contraditório. Do acórdão impugnado extraio os seguintes fragmentos (fl. </w:t>
      </w:r>
      <w:proofErr w:type="gramStart"/>
      <w:r>
        <w:rPr>
          <w:rFonts w:ascii="Arial" w:hAnsi="Arial" w:cs="Arial"/>
          <w:sz w:val="18"/>
          <w:szCs w:val="18"/>
        </w:rPr>
        <w:t>366v</w:t>
      </w:r>
      <w:proofErr w:type="gramEnd"/>
      <w:r>
        <w:rPr>
          <w:rFonts w:ascii="Arial" w:hAnsi="Arial" w:cs="Arial"/>
          <w:sz w:val="18"/>
          <w:szCs w:val="18"/>
        </w:rPr>
        <w:t xml:space="preserve">.): "Não procede o inconformismo da reclamada, pois o magistrado tem ampla liberdade na direção do processo, cumprindo-lhe velar pelo rápido andamento da causa (art. 765 da CLT), bem como é livre o seu convencimento motivado (art. 131, CPC), podendo dispensar os depoimentos das partes, bem como a produção de qualquer outra prova, quando conclui que já existem nos autos elementos suficientes para a sua convicção. Saliente-se que, in </w:t>
      </w:r>
      <w:proofErr w:type="spellStart"/>
      <w:r>
        <w:rPr>
          <w:rFonts w:ascii="Arial" w:hAnsi="Arial" w:cs="Arial"/>
          <w:sz w:val="18"/>
          <w:szCs w:val="18"/>
        </w:rPr>
        <w:t>casu</w:t>
      </w:r>
      <w:proofErr w:type="spellEnd"/>
      <w:r>
        <w:rPr>
          <w:rFonts w:ascii="Arial" w:hAnsi="Arial" w:cs="Arial"/>
          <w:sz w:val="18"/>
          <w:szCs w:val="18"/>
        </w:rPr>
        <w:t xml:space="preserve">, não houve indeferimento da realização de prova pericial, como demonstram os arestos colacionados pela recorrente, mas apenas de esclarecimentos do perito." Ante esse quadro, não vislumbro a violação literal das supracitadas normas jurídicas, vez que o julgamento decorreu da análise dos elementos de convicção, bem como encontra-se em sintonia com os artigos 765 da CLT e 131 do CPC, sendo certo que a apreciação das alegações da parte recorrente, como expostas, implicaria, necessariamente, o reexame de fatos e provas. Tal procedimento encontra óbice na Súmula nº. 126 do TST e inviabiliza a divergência jurisprudencial específica (Súmula nº. </w:t>
      </w:r>
      <w:proofErr w:type="gramStart"/>
      <w:r>
        <w:rPr>
          <w:rFonts w:ascii="Arial" w:hAnsi="Arial" w:cs="Arial"/>
          <w:sz w:val="18"/>
          <w:szCs w:val="18"/>
        </w:rPr>
        <w:t>296, item</w:t>
      </w:r>
      <w:proofErr w:type="gramEnd"/>
      <w:r>
        <w:rPr>
          <w:rFonts w:ascii="Arial" w:hAnsi="Arial" w:cs="Arial"/>
          <w:sz w:val="18"/>
          <w:szCs w:val="18"/>
        </w:rPr>
        <w:t xml:space="preserve"> I, TST). Por outro lado, o recurso de revista é igualmente inadmissível por divergência jurisprudencial em razão da </w:t>
      </w:r>
      <w:proofErr w:type="spellStart"/>
      <w:r>
        <w:rPr>
          <w:rFonts w:ascii="Arial" w:hAnsi="Arial" w:cs="Arial"/>
          <w:sz w:val="18"/>
          <w:szCs w:val="18"/>
        </w:rPr>
        <w:t>inespecificidade</w:t>
      </w:r>
      <w:proofErr w:type="spellEnd"/>
      <w:r>
        <w:rPr>
          <w:rFonts w:ascii="Arial" w:hAnsi="Arial" w:cs="Arial"/>
          <w:sz w:val="18"/>
          <w:szCs w:val="18"/>
        </w:rPr>
        <w:t xml:space="preserve"> das decisões transcritas pela parte recorrente, vez que não versam sobre todos os fundamentos constantes da decisão recorrida (Súmula nº 23 do TST). Remuneração, Verbas Indenizatórias e Benefícios / Adicional / Adicional de Periculosidade. Duração do Trabalho / Horas Extras. Remuneração, Verbas Indenizatórias e Benefícios / </w:t>
      </w:r>
      <w:proofErr w:type="gramStart"/>
      <w:r>
        <w:rPr>
          <w:rFonts w:ascii="Arial" w:hAnsi="Arial" w:cs="Arial"/>
          <w:sz w:val="18"/>
          <w:szCs w:val="18"/>
        </w:rPr>
        <w:t>Ajuda</w:t>
      </w:r>
      <w:proofErr w:type="gramEnd"/>
      <w:r>
        <w:rPr>
          <w:rFonts w:ascii="Arial" w:hAnsi="Arial" w:cs="Arial"/>
          <w:sz w:val="18"/>
          <w:szCs w:val="18"/>
        </w:rPr>
        <w:t>/Tíquete Alimentação. Alegação(</w:t>
      </w:r>
      <w:proofErr w:type="spellStart"/>
      <w:r>
        <w:rPr>
          <w:rFonts w:ascii="Arial" w:hAnsi="Arial" w:cs="Arial"/>
          <w:sz w:val="18"/>
          <w:szCs w:val="18"/>
        </w:rPr>
        <w:t>ões</w:t>
      </w:r>
      <w:proofErr w:type="spellEnd"/>
      <w:r>
        <w:rPr>
          <w:rFonts w:ascii="Arial" w:hAnsi="Arial" w:cs="Arial"/>
          <w:sz w:val="18"/>
          <w:szCs w:val="18"/>
        </w:rPr>
        <w:t xml:space="preserve">): - violação dos artigos 193, §1º, 194 da CLT; 333 do CPC; 92 do CCB. - divergência jurisprudencial. A parte recorrente pede a exclusão do adicional de periculosidade, haja vista que o reclamante não exercia as funções trabalhando em condições de periculosidade, muito menos próximo à rede elétrica. Aduz que não há qualquer previsão legal que confira aos técnicos em telecomunicações o direito à percepção do respectivo adicional. Alega que produziu prova quanto ao horário realizado pelo recorrido, uma vez que trouxe aos autos toda documentação necessária para comprovar que não há fluxo de trabalho tão exagerado a justificar o alongamento da jornada nos horários declinados pelo reclamante em sua </w:t>
      </w:r>
      <w:r>
        <w:rPr>
          <w:rFonts w:ascii="Arial" w:hAnsi="Arial" w:cs="Arial"/>
          <w:sz w:val="18"/>
          <w:szCs w:val="18"/>
        </w:rPr>
        <w:lastRenderedPageBreak/>
        <w:t xml:space="preserve">exordial. Diz que não é devido o pagamento pelos vales alimentação, vez que através das fichas financeiras colacionadas aos autos, resta claro que a empresa recorrente sempre cumpriu o determinado na norma coletiva, concedendo mensalmente os vales alimentação ao obreiro. Do acórdão impugnado extraio os seguintes fragmentos (fls. 367- 368): "É certo que o juízo, efetivamente, não precisa ficar adstrito à finalização do relatório do expert, à luz do princípio do livre convencimento motivado e da disposição contida no art. 436 do CPC, podendo ele concluir de modo diverso desde que o conteúdo probatório enseje grau de convencimento suficiente. Contudo, a caracterização da periculosidade é matéria afeta à prova técnica, a teor do art. 195 da CLT, pelo que, à míngua de subsídios outros (plausíveis), </w:t>
      </w:r>
      <w:proofErr w:type="gramStart"/>
      <w:r>
        <w:rPr>
          <w:rFonts w:ascii="Arial" w:hAnsi="Arial" w:cs="Arial"/>
          <w:sz w:val="18"/>
          <w:szCs w:val="18"/>
        </w:rPr>
        <w:t>deve</w:t>
      </w:r>
      <w:proofErr w:type="gramEnd"/>
      <w:r>
        <w:rPr>
          <w:rFonts w:ascii="Arial" w:hAnsi="Arial" w:cs="Arial"/>
          <w:sz w:val="18"/>
          <w:szCs w:val="18"/>
        </w:rPr>
        <w:t xml:space="preserve"> prevalecer a conclusão ali vertida quanto à existência ou não da periculosidade. Por outro lado, conforme restou provado nos autos, o reclamante também exercia a função de eletricista. E nesse sentido entendeu o juízo de primeiro grau, ao contrário do afirmado pela recorrente, in </w:t>
      </w:r>
      <w:proofErr w:type="spellStart"/>
      <w:r>
        <w:rPr>
          <w:rFonts w:ascii="Arial" w:hAnsi="Arial" w:cs="Arial"/>
          <w:sz w:val="18"/>
          <w:szCs w:val="18"/>
        </w:rPr>
        <w:t>verbis</w:t>
      </w:r>
      <w:proofErr w:type="spellEnd"/>
      <w:r>
        <w:rPr>
          <w:rFonts w:ascii="Arial" w:hAnsi="Arial" w:cs="Arial"/>
          <w:sz w:val="18"/>
          <w:szCs w:val="18"/>
        </w:rPr>
        <w:t xml:space="preserve">: "Provado o labor do autor também como eletricista e concluindo o perito do juízo que ele estava submetido a trabalho em condições de periculosidade, defere-se o pleito de pagamento do adicional de periculosidade, ..." (fl. 299-v). (...) Comungo com o entendimento exarado pelo juízo de primeiro grau, que muito bem analisou a questão, e, tendo em mira os princípios da celeridade e economia processuais, peço </w:t>
      </w:r>
      <w:proofErr w:type="spellStart"/>
      <w:r>
        <w:rPr>
          <w:rFonts w:ascii="Arial" w:hAnsi="Arial" w:cs="Arial"/>
          <w:sz w:val="18"/>
          <w:szCs w:val="18"/>
        </w:rPr>
        <w:t>venia</w:t>
      </w:r>
      <w:proofErr w:type="spellEnd"/>
      <w:r>
        <w:rPr>
          <w:rFonts w:ascii="Arial" w:hAnsi="Arial" w:cs="Arial"/>
          <w:sz w:val="18"/>
          <w:szCs w:val="18"/>
        </w:rPr>
        <w:t xml:space="preserve"> para adotar as mesmas razões de decidir, in </w:t>
      </w:r>
      <w:proofErr w:type="spellStart"/>
      <w:r>
        <w:rPr>
          <w:rFonts w:ascii="Arial" w:hAnsi="Arial" w:cs="Arial"/>
          <w:sz w:val="18"/>
          <w:szCs w:val="18"/>
        </w:rPr>
        <w:t>verbis</w:t>
      </w:r>
      <w:proofErr w:type="spellEnd"/>
      <w:r>
        <w:rPr>
          <w:rFonts w:ascii="Arial" w:hAnsi="Arial" w:cs="Arial"/>
          <w:sz w:val="18"/>
          <w:szCs w:val="18"/>
        </w:rPr>
        <w:t xml:space="preserve">: "Alega o autor ter trabalhado no horário das 7 às 20 horas, com uma hora de intervalo, de segunda a sexta-feira, assim como em três sábados e dois domingos por mês no mesmo horário. O reclamado contestou o pedido, afirmando que o trabalho sempre se deu de segunda a sexta-feira, das 7 às 17 horas até às </w:t>
      </w:r>
      <w:proofErr w:type="spellStart"/>
      <w:r>
        <w:rPr>
          <w:rFonts w:ascii="Arial" w:hAnsi="Arial" w:cs="Arial"/>
          <w:sz w:val="18"/>
          <w:szCs w:val="18"/>
        </w:rPr>
        <w:t>quintasfeiras</w:t>
      </w:r>
      <w:proofErr w:type="spellEnd"/>
      <w:r>
        <w:rPr>
          <w:rFonts w:ascii="Arial" w:hAnsi="Arial" w:cs="Arial"/>
          <w:sz w:val="18"/>
          <w:szCs w:val="18"/>
        </w:rPr>
        <w:t xml:space="preserve"> e até às 16 horas nas sextas-feiras, com intervalo de uma hora. Impugnados os controles de horário acostados pelo reclamado, atraiu para si o autor o ônus de provar a jornada alongada declinada na inicial. E, de tal encargo, desincumbiu-se em parte o reclamante. A prova testemunhal produzida pelo autor convenceu o juízo do labor realizado pelo período médio de um ano, sendo adotado como parâmetro o período de 30.12.08 a 30.12.09, em jornada alongada, ou seja: - 7 às 20 horas, de segunda a sexta-feira, com uma hora de intervalo, em três dias da semana; - 7 às 17 horas, com uma hora de intervalo, nos outros dois dias; - 7 às 17 horas, com uma hora de intervalo, em dois sábados e dois domingos por mês. No restante do período, 31.12.09 a 23.07.10, labor desenvolvido de segunda a quinta-feira, das 7 às 17 horas, e até às 16 horas nas sextas-feiras, com intervalo de uma hora. Desta forma, extrapolado o limite previsto no art. 7º, XIII, da CF/88, de 44 horas de trabalho semanais, </w:t>
      </w:r>
      <w:proofErr w:type="gramStart"/>
      <w:r>
        <w:rPr>
          <w:rFonts w:ascii="Arial" w:hAnsi="Arial" w:cs="Arial"/>
          <w:sz w:val="18"/>
          <w:szCs w:val="18"/>
        </w:rPr>
        <w:t>procede o</w:t>
      </w:r>
      <w:proofErr w:type="gramEnd"/>
      <w:r>
        <w:rPr>
          <w:rFonts w:ascii="Arial" w:hAnsi="Arial" w:cs="Arial"/>
          <w:sz w:val="18"/>
          <w:szCs w:val="18"/>
        </w:rPr>
        <w:t xml:space="preserve"> pedido de pagamento de horas extras com adicional de 50%, assim consideradas as que ultrapassaram a 44ª semanal, por força do acordo de compensação firmado, no período de 30.12.08 a 30.04.09, bem como o pagamento da dobra pelo labor em dois domingos por mês. No período posterior, de vigência das </w:t>
      </w:r>
      <w:proofErr w:type="spellStart"/>
      <w:r>
        <w:rPr>
          <w:rFonts w:ascii="Arial" w:hAnsi="Arial" w:cs="Arial"/>
          <w:sz w:val="18"/>
          <w:szCs w:val="18"/>
        </w:rPr>
        <w:t>CCTs</w:t>
      </w:r>
      <w:proofErr w:type="spellEnd"/>
      <w:r>
        <w:rPr>
          <w:rFonts w:ascii="Arial" w:hAnsi="Arial" w:cs="Arial"/>
          <w:sz w:val="18"/>
          <w:szCs w:val="18"/>
        </w:rPr>
        <w:t xml:space="preserve"> acostadas aos autos, são consideradas extras as horas laboradas após a 40ª semanal e 8ª diária, sendo que as duas primeiras horas laboradas após a oitava com acréscimo do adicional de 50% e as posteriores com adicional de 100%. Na apuração do valor da hora </w:t>
      </w:r>
      <w:proofErr w:type="gramStart"/>
      <w:r>
        <w:rPr>
          <w:rFonts w:ascii="Arial" w:hAnsi="Arial" w:cs="Arial"/>
          <w:sz w:val="18"/>
          <w:szCs w:val="18"/>
        </w:rPr>
        <w:t>extra deverá</w:t>
      </w:r>
      <w:proofErr w:type="gramEnd"/>
      <w:r>
        <w:rPr>
          <w:rFonts w:ascii="Arial" w:hAnsi="Arial" w:cs="Arial"/>
          <w:sz w:val="18"/>
          <w:szCs w:val="18"/>
        </w:rPr>
        <w:t xml:space="preserve"> ser considerado o divisor 200, conforme previsão expressa nas </w:t>
      </w:r>
      <w:proofErr w:type="spellStart"/>
      <w:r>
        <w:rPr>
          <w:rFonts w:ascii="Arial" w:hAnsi="Arial" w:cs="Arial"/>
          <w:sz w:val="18"/>
          <w:szCs w:val="18"/>
        </w:rPr>
        <w:t>CCTs</w:t>
      </w:r>
      <w:proofErr w:type="spellEnd"/>
      <w:r>
        <w:rPr>
          <w:rFonts w:ascii="Arial" w:hAnsi="Arial" w:cs="Arial"/>
          <w:sz w:val="18"/>
          <w:szCs w:val="18"/>
        </w:rPr>
        <w:t xml:space="preserve">. Também devida </w:t>
      </w:r>
      <w:proofErr w:type="gramStart"/>
      <w:r>
        <w:rPr>
          <w:rFonts w:ascii="Arial" w:hAnsi="Arial" w:cs="Arial"/>
          <w:sz w:val="18"/>
          <w:szCs w:val="18"/>
        </w:rPr>
        <w:t>a</w:t>
      </w:r>
      <w:proofErr w:type="gramEnd"/>
      <w:r>
        <w:rPr>
          <w:rFonts w:ascii="Arial" w:hAnsi="Arial" w:cs="Arial"/>
          <w:sz w:val="18"/>
          <w:szCs w:val="18"/>
        </w:rPr>
        <w:t xml:space="preserve"> dobra pelo labor em domingos. Procede, ainda, o pedido de incidências no aviso prévio, férias com 1/3, 13º salários, FGTS mais 40% e RSR. </w:t>
      </w:r>
      <w:proofErr w:type="gramStart"/>
      <w:r>
        <w:rPr>
          <w:rFonts w:ascii="Arial" w:hAnsi="Arial" w:cs="Arial"/>
          <w:sz w:val="18"/>
          <w:szCs w:val="18"/>
        </w:rPr>
        <w:t xml:space="preserve">Quantum a ser apurado em liquidação, mediante cálculos, observando-se o piso da categoria indicado nas </w:t>
      </w:r>
      <w:proofErr w:type="spellStart"/>
      <w:r>
        <w:rPr>
          <w:rFonts w:ascii="Arial" w:hAnsi="Arial" w:cs="Arial"/>
          <w:sz w:val="18"/>
          <w:szCs w:val="18"/>
        </w:rPr>
        <w:t>CCTs</w:t>
      </w:r>
      <w:proofErr w:type="spellEnd"/>
      <w:r>
        <w:rPr>
          <w:rFonts w:ascii="Arial" w:hAnsi="Arial" w:cs="Arial"/>
          <w:sz w:val="18"/>
          <w:szCs w:val="18"/>
        </w:rPr>
        <w:t>."</w:t>
      </w:r>
      <w:proofErr w:type="gramEnd"/>
      <w:r>
        <w:rPr>
          <w:rFonts w:ascii="Arial" w:hAnsi="Arial" w:cs="Arial"/>
          <w:sz w:val="18"/>
          <w:szCs w:val="18"/>
        </w:rPr>
        <w:t xml:space="preserve"> Assim, adotando essa fundamentação per </w:t>
      </w:r>
      <w:proofErr w:type="spellStart"/>
      <w:r>
        <w:rPr>
          <w:rFonts w:ascii="Arial" w:hAnsi="Arial" w:cs="Arial"/>
          <w:sz w:val="18"/>
          <w:szCs w:val="18"/>
        </w:rPr>
        <w:t>relationem</w:t>
      </w:r>
      <w:proofErr w:type="spellEnd"/>
      <w:r>
        <w:rPr>
          <w:rFonts w:ascii="Arial" w:hAnsi="Arial" w:cs="Arial"/>
          <w:sz w:val="18"/>
          <w:szCs w:val="18"/>
        </w:rPr>
        <w:t xml:space="preserve">, perfeitamente aplicável à hipótese, nego provimento ao recurso, no particular. (...) Como bem observou o juízo de primeiro grau, não comprovou a demandada o pagamento integral do tíquete alimentação, de forma que deve ser mantida a sentença que a condenou ao pagamento da diferença de R$1,50 por dia. No tocante ao complemento diário de R$ 3,75, também deve ser mantida a condenação, quando reconhecido o labor extraordinário superior a duas horas, nos moldes do § 2º da cláusula 11ª da CCT." Ante esse quadro, a apreciação das alegações da parte recorrente, como expostas, implicaria, necessariamente, o reexame de fatos e provas - procedimento que encontra óbice na Súmula nº. 126 do TST e inviabiliza a divergência jurisprudencial específica (Súmula nº. </w:t>
      </w:r>
      <w:proofErr w:type="gramStart"/>
      <w:r>
        <w:rPr>
          <w:rFonts w:ascii="Arial" w:hAnsi="Arial" w:cs="Arial"/>
          <w:sz w:val="18"/>
          <w:szCs w:val="18"/>
        </w:rPr>
        <w:t>296, item</w:t>
      </w:r>
      <w:proofErr w:type="gramEnd"/>
      <w:r>
        <w:rPr>
          <w:rFonts w:ascii="Arial" w:hAnsi="Arial" w:cs="Arial"/>
          <w:sz w:val="18"/>
          <w:szCs w:val="18"/>
        </w:rPr>
        <w:t xml:space="preserve"> I, TST). Além disso, verifico que esta Corte decidiu o caso em sintonia com a OJ nº. 354 da SDI-I do TST - fato que, também, inviabiliza a admissibilidade do recurso inclusive por dissensão jurisprudencial (Súmula nº. 333 desse órgão de cúpula da Justiça do Trabalho). DIREITO PROCESSUAL CIVIL E DO TRABALHO / L i q u i d a ç ã o / C u m p r i m e n t o / E x e c u ç ã o / V a l o r d a E x e c u ç ã o / C á l c u l o / A t u a l i z a ç ã o / J u r o </w:t>
      </w:r>
      <w:proofErr w:type="gramStart"/>
      <w:r>
        <w:rPr>
          <w:rFonts w:ascii="Arial" w:hAnsi="Arial" w:cs="Arial"/>
          <w:sz w:val="18"/>
          <w:szCs w:val="18"/>
        </w:rPr>
        <w:t>s .</w:t>
      </w:r>
      <w:proofErr w:type="gramEnd"/>
      <w:r>
        <w:rPr>
          <w:rFonts w:ascii="Arial" w:hAnsi="Arial" w:cs="Arial"/>
          <w:sz w:val="18"/>
          <w:szCs w:val="18"/>
        </w:rPr>
        <w:t xml:space="preserve"> Alegação(</w:t>
      </w:r>
      <w:proofErr w:type="spellStart"/>
      <w:r>
        <w:rPr>
          <w:rFonts w:ascii="Arial" w:hAnsi="Arial" w:cs="Arial"/>
          <w:sz w:val="18"/>
          <w:szCs w:val="18"/>
        </w:rPr>
        <w:t>ões</w:t>
      </w:r>
      <w:proofErr w:type="spellEnd"/>
      <w:r>
        <w:rPr>
          <w:rFonts w:ascii="Arial" w:hAnsi="Arial" w:cs="Arial"/>
          <w:sz w:val="18"/>
          <w:szCs w:val="18"/>
        </w:rPr>
        <w:t xml:space="preserve">): - violação do art. 5º, incisos II e LIV, da Constituição Federal; e - violação do artigo 334 do CPC; 889 da CLT; 39, §1º, da Lei 8.177/91. A recorrente alega que os juros de mora, na Justiça do Trabalho, devem ser contados a partir do ajuizamento da ação, </w:t>
      </w:r>
      <w:proofErr w:type="gramStart"/>
      <w:r>
        <w:rPr>
          <w:rFonts w:ascii="Arial" w:hAnsi="Arial" w:cs="Arial"/>
          <w:sz w:val="18"/>
          <w:szCs w:val="18"/>
        </w:rPr>
        <w:t>sob pena</w:t>
      </w:r>
      <w:proofErr w:type="gramEnd"/>
      <w:r>
        <w:rPr>
          <w:rFonts w:ascii="Arial" w:hAnsi="Arial" w:cs="Arial"/>
          <w:sz w:val="18"/>
          <w:szCs w:val="18"/>
        </w:rPr>
        <w:t xml:space="preserve"> de violação das normas jurídicas indicadas. Sustenta que a interpretação dada pela Súmula n° 04 desta Egrégia Corte ao artigo 39, § 1º, da Lei nº 8.177/91, foi </w:t>
      </w:r>
      <w:proofErr w:type="spellStart"/>
      <w:r>
        <w:rPr>
          <w:rFonts w:ascii="Arial" w:hAnsi="Arial" w:cs="Arial"/>
          <w:sz w:val="18"/>
          <w:szCs w:val="18"/>
        </w:rPr>
        <w:t>complementamente</w:t>
      </w:r>
      <w:proofErr w:type="spellEnd"/>
      <w:r>
        <w:rPr>
          <w:rFonts w:ascii="Arial" w:hAnsi="Arial" w:cs="Arial"/>
          <w:sz w:val="18"/>
          <w:szCs w:val="18"/>
        </w:rPr>
        <w:t xml:space="preserve"> equivocada. Do acórdão impugnado extraio os seguintes fragmentos (fls. 368- 369): "Assim sendo, ainda que o executado venha a efetuar o depósito em dinheiro do valor integral da execução para efeito de garantia do juízo, continuarão a incidir juros de mora sobre o crédito trabalhista até o efetivo pagamento do mesmo, ou seja, até o recebimento do correspondente alvará de autorização. Convém lembrar que a matéria já se encontra pacificada no âmbito deste Regional, de conformidade com o teor de sua Súmula nº 04, a seguir transcrita: JUROS DE MORA - DEPÓSITO EM GARANTIA DO JUÍZO - EXEGESE DO ARTIGO 39, § 1º, DA LEI 8.177/91 - RESPONSABILIDADE DA PARTE EXECUTADA - Independentemente da existência de depósito em conta, à ordem do Juízo, para efeito de garantia, de modo a possibilitar o ingresso de embargos à execução e a praticar atos processuais </w:t>
      </w:r>
      <w:proofErr w:type="spellStart"/>
      <w:r>
        <w:rPr>
          <w:rFonts w:ascii="Arial" w:hAnsi="Arial" w:cs="Arial"/>
          <w:sz w:val="18"/>
          <w:szCs w:val="18"/>
        </w:rPr>
        <w:t>subseqüentes</w:t>
      </w:r>
      <w:proofErr w:type="spellEnd"/>
      <w:r>
        <w:rPr>
          <w:rFonts w:ascii="Arial" w:hAnsi="Arial" w:cs="Arial"/>
          <w:sz w:val="18"/>
          <w:szCs w:val="18"/>
        </w:rPr>
        <w:t xml:space="preserve">, os juros de mora - que são de responsabilidade da parte executada - devem ser calculados até a data da efetiva disponibilidade do crédito ao </w:t>
      </w:r>
      <w:proofErr w:type="spellStart"/>
      <w:r>
        <w:rPr>
          <w:rFonts w:ascii="Arial" w:hAnsi="Arial" w:cs="Arial"/>
          <w:sz w:val="18"/>
          <w:szCs w:val="18"/>
        </w:rPr>
        <w:t>exeqüente</w:t>
      </w:r>
      <w:proofErr w:type="spellEnd"/>
      <w:r>
        <w:rPr>
          <w:rFonts w:ascii="Arial" w:hAnsi="Arial" w:cs="Arial"/>
          <w:sz w:val="18"/>
          <w:szCs w:val="18"/>
        </w:rPr>
        <w:t xml:space="preserve">. Sala de Sessões do Pleno, 17 de maio de 2001 (quinta-feira). ANA MARIA SCHULER </w:t>
      </w:r>
      <w:proofErr w:type="spellStart"/>
      <w:proofErr w:type="gramStart"/>
      <w:r>
        <w:rPr>
          <w:rFonts w:ascii="Arial" w:hAnsi="Arial" w:cs="Arial"/>
          <w:sz w:val="18"/>
          <w:szCs w:val="18"/>
        </w:rPr>
        <w:t>GOMESJuíza</w:t>
      </w:r>
      <w:proofErr w:type="spellEnd"/>
      <w:proofErr w:type="gramEnd"/>
      <w:r>
        <w:rPr>
          <w:rFonts w:ascii="Arial" w:hAnsi="Arial" w:cs="Arial"/>
          <w:sz w:val="18"/>
          <w:szCs w:val="18"/>
        </w:rPr>
        <w:t xml:space="preserve"> Presidente do TRT da 6ª Região. (Publicação nos termos do § 2º, do inciso VI, </w:t>
      </w:r>
      <w:r>
        <w:rPr>
          <w:rFonts w:ascii="Arial" w:hAnsi="Arial" w:cs="Arial"/>
          <w:sz w:val="18"/>
          <w:szCs w:val="18"/>
        </w:rPr>
        <w:lastRenderedPageBreak/>
        <w:t xml:space="preserve">do artigo 104 do Regimento Interno) Ressalte-se que havendo norma trabalhista específica sobre a questão, consubstanciada nos artigos 883, da CLT e 39, caput, § 1º, da Lei 8.177/91, não há que se falar na </w:t>
      </w:r>
      <w:proofErr w:type="spellStart"/>
      <w:r>
        <w:rPr>
          <w:rFonts w:ascii="Arial" w:hAnsi="Arial" w:cs="Arial"/>
          <w:sz w:val="18"/>
          <w:szCs w:val="18"/>
        </w:rPr>
        <w:t>supletividade</w:t>
      </w:r>
      <w:proofErr w:type="spellEnd"/>
      <w:r>
        <w:rPr>
          <w:rFonts w:ascii="Arial" w:hAnsi="Arial" w:cs="Arial"/>
          <w:sz w:val="18"/>
          <w:szCs w:val="18"/>
        </w:rPr>
        <w:t xml:space="preserve"> de que trata o art. 889, da CLT, de modo que incida a regra prevista no art. 9º, § 4º, da Lei nº. 6.830/80." Inadmissível o recurso eis que não vislumbrado violação literal das supracitadas normas jurídicas, vez que a decisão foi proferida em conformidade com a Súmula nº 04 deste Tribunal. CONCLUSÃO Ante o exposto</w:t>
      </w:r>
      <w:proofErr w:type="gramStart"/>
      <w:r>
        <w:rPr>
          <w:rFonts w:ascii="Arial" w:hAnsi="Arial" w:cs="Arial"/>
          <w:sz w:val="18"/>
          <w:szCs w:val="18"/>
        </w:rPr>
        <w:t>, INDEFIRO</w:t>
      </w:r>
      <w:proofErr w:type="gramEnd"/>
      <w:r>
        <w:rPr>
          <w:rFonts w:ascii="Arial" w:hAnsi="Arial" w:cs="Arial"/>
          <w:sz w:val="18"/>
          <w:szCs w:val="18"/>
        </w:rPr>
        <w:t xml:space="preserve"> o processamento do recurso de revista. Intimem-se. Recife, 14 de janeiro de 2013 Firmado por assinatura digital (Medida Provisória nº 2.200-2/2001) GISANE BARBOSA DE ARAÚJO Desembargadora Corregedora do TRT da 6ª </w:t>
      </w:r>
      <w:proofErr w:type="gramStart"/>
      <w:r>
        <w:rPr>
          <w:rFonts w:ascii="Arial" w:hAnsi="Arial" w:cs="Arial"/>
          <w:sz w:val="18"/>
          <w:szCs w:val="18"/>
        </w:rPr>
        <w:t>Região</w:t>
      </w:r>
      <w:proofErr w:type="gramEnd"/>
      <w:r>
        <w:rPr>
          <w:rFonts w:ascii="Arial" w:hAnsi="Arial" w:cs="Arial"/>
          <w:sz w:val="18"/>
          <w:szCs w:val="18"/>
        </w:rPr>
        <w:t xml:space="preserve"> </w:t>
      </w:r>
      <w:bookmarkStart w:id="0" w:name="_GoBack"/>
      <w:bookmarkEnd w:id="0"/>
    </w:p>
    <w:sectPr w:rsidR="00CC483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4"/>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483D"/>
    <w:rsid w:val="002705B1"/>
    <w:rsid w:val="00720715"/>
    <w:rsid w:val="00933A7B"/>
    <w:rsid w:val="00CC483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483D"/>
    <w:pPr>
      <w:spacing w:after="0" w:line="240" w:lineRule="auto"/>
    </w:pPr>
    <w:rPr>
      <w:rFonts w:ascii="Times New Roman" w:hAnsi="Times New Roman" w:cs="Times New Roman"/>
      <w:color w:val="000000"/>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CC483D"/>
    <w:pPr>
      <w:spacing w:before="100" w:beforeAutospacing="1" w:after="100" w:afterAutospacing="1"/>
    </w:pPr>
  </w:style>
  <w:style w:type="character" w:styleId="Forte">
    <w:name w:val="Strong"/>
    <w:basedOn w:val="Fontepargpadro"/>
    <w:uiPriority w:val="22"/>
    <w:qFormat/>
    <w:rsid w:val="00CC483D"/>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483D"/>
    <w:pPr>
      <w:spacing w:after="0" w:line="240" w:lineRule="auto"/>
    </w:pPr>
    <w:rPr>
      <w:rFonts w:ascii="Times New Roman" w:hAnsi="Times New Roman" w:cs="Times New Roman"/>
      <w:color w:val="000000"/>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CC483D"/>
    <w:pPr>
      <w:spacing w:before="100" w:beforeAutospacing="1" w:after="100" w:afterAutospacing="1"/>
    </w:pPr>
  </w:style>
  <w:style w:type="character" w:styleId="Forte">
    <w:name w:val="Strong"/>
    <w:basedOn w:val="Fontepargpadro"/>
    <w:uiPriority w:val="22"/>
    <w:qFormat/>
    <w:rsid w:val="00CC48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5606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1865</Words>
  <Characters>10072</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Antonio</dc:creator>
  <cp:lastModifiedBy>Antonio</cp:lastModifiedBy>
  <cp:revision>1</cp:revision>
  <dcterms:created xsi:type="dcterms:W3CDTF">2013-01-30T13:55:00Z</dcterms:created>
  <dcterms:modified xsi:type="dcterms:W3CDTF">2013-01-30T13:56:00Z</dcterms:modified>
</cp:coreProperties>
</file>