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4631" w:rsidRDefault="00A64631" w:rsidP="00A64631">
      <w:pPr>
        <w:pStyle w:val="NormalWeb"/>
      </w:pPr>
      <w:r>
        <w:rPr>
          <w:rFonts w:ascii="Arial" w:hAnsi="Arial" w:cs="Arial"/>
          <w:sz w:val="20"/>
          <w:szCs w:val="20"/>
        </w:rPr>
        <w:t xml:space="preserve">Art. 469 - Ao empregador é vedado transferir o empregado, sem a sua anuência, para localidade diversa da que resultar do contrato, não se considerando transferência a que não acarretar necessariamente a mudança do seu </w:t>
      </w:r>
      <w:proofErr w:type="gramStart"/>
      <w:r>
        <w:rPr>
          <w:rFonts w:ascii="Arial" w:hAnsi="Arial" w:cs="Arial"/>
          <w:sz w:val="20"/>
          <w:szCs w:val="20"/>
        </w:rPr>
        <w:t>domicílio .</w:t>
      </w:r>
      <w:proofErr w:type="gramEnd"/>
    </w:p>
    <w:p w:rsidR="00A64631" w:rsidRDefault="00A64631" w:rsidP="00A64631">
      <w:pPr>
        <w:pStyle w:val="NormalWeb"/>
      </w:pPr>
      <w:r>
        <w:rPr>
          <w:rFonts w:ascii="Arial" w:hAnsi="Arial" w:cs="Arial"/>
          <w:sz w:val="20"/>
          <w:szCs w:val="20"/>
        </w:rPr>
        <w:t xml:space="preserve">        </w:t>
      </w:r>
      <w:r>
        <w:rPr>
          <w:rFonts w:ascii="Arial" w:hAnsi="Arial" w:cs="Arial"/>
          <w:strike/>
          <w:sz w:val="20"/>
          <w:szCs w:val="20"/>
        </w:rPr>
        <w:t xml:space="preserve">§ 1º Não estão compreendidos na proibição deste artigo: os empregados que exercerem cargos de confiança e aqueles cujos contratos tenham como condição, implícita ou explícita, a transferência. </w:t>
      </w:r>
    </w:p>
    <w:p w:rsidR="00A64631" w:rsidRDefault="00A64631" w:rsidP="00A64631">
      <w:pPr>
        <w:pStyle w:val="NormalWeb"/>
      </w:pPr>
      <w:r>
        <w:rPr>
          <w:rStyle w:val="Forte"/>
          <w:rFonts w:ascii="Arial" w:hAnsi="Arial" w:cs="Arial"/>
          <w:color w:val="0000FF"/>
          <w:sz w:val="20"/>
          <w:szCs w:val="20"/>
        </w:rPr>
        <w:t>       </w:t>
      </w:r>
      <w:bookmarkStart w:id="0" w:name="art469§1"/>
      <w:bookmarkEnd w:id="0"/>
      <w:r>
        <w:rPr>
          <w:rStyle w:val="Forte"/>
          <w:rFonts w:ascii="Arial" w:hAnsi="Arial" w:cs="Arial"/>
          <w:color w:val="0000FF"/>
          <w:sz w:val="20"/>
          <w:szCs w:val="20"/>
        </w:rPr>
        <w:t xml:space="preserve"> </w:t>
      </w:r>
      <w:r>
        <w:rPr>
          <w:rFonts w:ascii="Arial" w:hAnsi="Arial" w:cs="Arial"/>
          <w:sz w:val="20"/>
          <w:szCs w:val="20"/>
        </w:rPr>
        <w:t xml:space="preserve">§ 1º - Não estão compreendidos na proibição deste artigo: os empregados que exerçam cargo de confiança e aqueles cujos contratos tenham como condição, implícita ou explícita, a transferência, quando esta decorra de real necessidade de serviço. </w:t>
      </w:r>
      <w:hyperlink r:id="rId5" w:anchor="art1" w:history="1">
        <w:r>
          <w:rPr>
            <w:rStyle w:val="Hyperlink"/>
            <w:rFonts w:ascii="Arial" w:hAnsi="Arial" w:cs="Arial"/>
            <w:sz w:val="20"/>
            <w:szCs w:val="20"/>
          </w:rPr>
          <w:t>(Redação dada pela Lei nº 6.203, de 17.4.1975)</w:t>
        </w:r>
        <w:proofErr w:type="gramStart"/>
      </w:hyperlink>
      <w:proofErr w:type="gramEnd"/>
    </w:p>
    <w:p w:rsidR="00A64631" w:rsidRDefault="00A64631" w:rsidP="00A64631">
      <w:pPr>
        <w:pStyle w:val="NormalWeb"/>
      </w:pPr>
      <w:r>
        <w:rPr>
          <w:rFonts w:ascii="Arial" w:hAnsi="Arial" w:cs="Arial"/>
          <w:sz w:val="20"/>
          <w:szCs w:val="20"/>
        </w:rPr>
        <w:t xml:space="preserve">        § 2º - É licita a transferência quando ocorrer extinção do estabelecimento em que trabalhar o empregado. </w:t>
      </w:r>
    </w:p>
    <w:p w:rsidR="00A64631" w:rsidRDefault="00A64631" w:rsidP="00A64631">
      <w:pPr>
        <w:pStyle w:val="NormalWeb"/>
      </w:pPr>
      <w:r>
        <w:rPr>
          <w:rStyle w:val="Forte"/>
          <w:rFonts w:ascii="Arial" w:hAnsi="Arial" w:cs="Arial"/>
          <w:color w:val="FF0000"/>
          <w:sz w:val="20"/>
          <w:szCs w:val="20"/>
        </w:rPr>
        <w:t>       </w:t>
      </w:r>
      <w:bookmarkStart w:id="1" w:name="art469§3"/>
      <w:bookmarkEnd w:id="1"/>
      <w:r>
        <w:rPr>
          <w:rStyle w:val="Forte"/>
          <w:rFonts w:ascii="Arial" w:hAnsi="Arial" w:cs="Arial"/>
          <w:color w:val="FF0000"/>
          <w:sz w:val="20"/>
          <w:szCs w:val="20"/>
        </w:rPr>
        <w:t xml:space="preserve"> </w:t>
      </w:r>
      <w:proofErr w:type="gramStart"/>
      <w:r>
        <w:rPr>
          <w:rFonts w:ascii="Arial" w:hAnsi="Arial" w:cs="Arial"/>
          <w:sz w:val="20"/>
          <w:szCs w:val="20"/>
        </w:rPr>
        <w:t>§ 3º - Em caso de necessidade de serviço o empregador poderá transferir o empregado para localidade diversa da que resultar do contrato, não obstante as restrições do artigo anterior, mas, nesse caso, ficará obrigado a um pagamento suplementar, nunca inferior a 25% (vinte e cinco por cento) dos salários que o empregado percebia naquela localidade, enquanto durar essa situação.</w:t>
      </w:r>
      <w:proofErr w:type="gramEnd"/>
      <w:r>
        <w:rPr>
          <w:rFonts w:ascii="Arial" w:hAnsi="Arial" w:cs="Arial"/>
          <w:color w:val="FF0000"/>
          <w:sz w:val="20"/>
          <w:szCs w:val="20"/>
        </w:rPr>
        <w:t xml:space="preserve"> </w:t>
      </w:r>
      <w:hyperlink r:id="rId6" w:anchor="art469#art2" w:history="1">
        <w:r>
          <w:rPr>
            <w:rStyle w:val="Hyperlink"/>
            <w:rFonts w:ascii="Arial" w:hAnsi="Arial" w:cs="Arial"/>
            <w:sz w:val="20"/>
            <w:szCs w:val="20"/>
          </w:rPr>
          <w:t>(Parágrafo incluído pela Lei nº 6.203, de 17.4.1975)</w:t>
        </w:r>
        <w:proofErr w:type="gramStart"/>
      </w:hyperlink>
      <w:proofErr w:type="gramEnd"/>
    </w:p>
    <w:p w:rsidR="00AE131C" w:rsidRDefault="00A64631"/>
    <w:p w:rsidR="00A64631" w:rsidRDefault="00A64631" w:rsidP="00A64631">
      <w:pPr>
        <w:pStyle w:val="Corpo"/>
        <w:rPr>
          <w:b/>
          <w:bCs/>
        </w:rPr>
      </w:pPr>
      <w:r>
        <w:rPr>
          <w:b/>
          <w:bCs/>
        </w:rPr>
        <w:t>2.1. ADICIONAL DE TRANSFERÊNCIA</w:t>
      </w:r>
    </w:p>
    <w:p w:rsidR="00A64631" w:rsidRDefault="00A64631" w:rsidP="00A64631">
      <w:pPr>
        <w:pStyle w:val="Corpo"/>
        <w:rPr>
          <w:i/>
          <w:iCs/>
        </w:rPr>
      </w:pPr>
      <w:r>
        <w:t xml:space="preserve">Como é cediço, o adicional de transferência destina-se a compensar o empregado das despesas oriundas do exercício de atividade em localidade diversa da resultante do contrato de trabalho. Os pressupostos legais para legitimar o percebimento do respectivo adicional são: a) transferência provisória; </w:t>
      </w:r>
      <w:r>
        <w:rPr>
          <w:i/>
          <w:iCs/>
        </w:rPr>
        <w:t xml:space="preserve">e </w:t>
      </w:r>
      <w:r>
        <w:t xml:space="preserve">b) </w:t>
      </w:r>
      <w:r>
        <w:rPr>
          <w:i/>
          <w:iCs/>
        </w:rPr>
        <w:t>“mudança de domicílio”.</w:t>
      </w:r>
    </w:p>
    <w:p w:rsidR="00A64631" w:rsidRDefault="00A64631" w:rsidP="00A64631">
      <w:pPr>
        <w:pStyle w:val="Corpo"/>
      </w:pPr>
      <w:r>
        <w:t xml:space="preserve">Eis, a propósito, o que reza o artigo 469, </w:t>
      </w:r>
      <w:r>
        <w:rPr>
          <w:i/>
          <w:iCs/>
        </w:rPr>
        <w:t>caput</w:t>
      </w:r>
      <w:r>
        <w:t>, da CLT:</w:t>
      </w:r>
    </w:p>
    <w:p w:rsidR="00A64631" w:rsidRDefault="00A64631" w:rsidP="00A64631">
      <w:pPr>
        <w:pStyle w:val="Transcrio"/>
      </w:pPr>
      <w:r>
        <w:t>“Art. 469. Ao empregador é vedado transferir o empregado, sem a sua anuência, para localidade diversa da que resultar do contrato, não se considerando transferência a que não acarretar necessariamente a mudança do seu domicílio.”</w:t>
      </w:r>
    </w:p>
    <w:p w:rsidR="00A64631" w:rsidRDefault="00A64631" w:rsidP="00A64631">
      <w:pPr>
        <w:pStyle w:val="Corpo"/>
      </w:pPr>
    </w:p>
    <w:p w:rsidR="00A64631" w:rsidRDefault="00A64631" w:rsidP="00A64631">
      <w:pPr>
        <w:pStyle w:val="Corpo"/>
      </w:pPr>
      <w:r>
        <w:t xml:space="preserve">Impende realçar, para logo, que sempre se tomou como uma impropriedade a alusão da lei a “domicílio”. É pacífico em doutrina que, nesse passo, o legislador quis referir-se à mudança de “residência”, visto que a </w:t>
      </w:r>
      <w:proofErr w:type="spellStart"/>
      <w:r>
        <w:t>idéia</w:t>
      </w:r>
      <w:proofErr w:type="spellEnd"/>
      <w:r>
        <w:t xml:space="preserve">, em si, de domicílio — residência com ânimo definitivo — afasta a transitoriedade exigida para a concessão do adicional de transferência. </w:t>
      </w:r>
    </w:p>
    <w:p w:rsidR="00A64631" w:rsidRDefault="00A64631" w:rsidP="00A64631">
      <w:pPr>
        <w:pStyle w:val="Corpo"/>
      </w:pPr>
      <w:r>
        <w:lastRenderedPageBreak/>
        <w:t>Presentemente, todavia, essa questão perdeu substância em face do conceito mais elástico de “domicílio” contemplado no Código Civil de 2002, que estatui, a respeito:</w:t>
      </w:r>
    </w:p>
    <w:p w:rsidR="00A64631" w:rsidRDefault="00A64631" w:rsidP="00A64631">
      <w:pPr>
        <w:pStyle w:val="Corpo"/>
      </w:pPr>
    </w:p>
    <w:p w:rsidR="00A64631" w:rsidRDefault="00A64631" w:rsidP="00A64631">
      <w:pPr>
        <w:pStyle w:val="Transcrio"/>
      </w:pPr>
      <w:proofErr w:type="gramStart"/>
      <w:r>
        <w:t>“Art. 70.</w:t>
      </w:r>
      <w:proofErr w:type="gramEnd"/>
      <w:r>
        <w:t xml:space="preserve"> O domicílio da pessoa natural é o lugar onde ela estabelece a sua residência com ânimo definitivo.</w:t>
      </w:r>
    </w:p>
    <w:p w:rsidR="00A64631" w:rsidRDefault="00A64631" w:rsidP="00A64631">
      <w:pPr>
        <w:pStyle w:val="Transcrio"/>
      </w:pPr>
      <w:r>
        <w:t xml:space="preserve">Art. 71. Se, porém, a pessoa natural tiver diversas residências, onde, alternadamente viva, considerar-se-á domicílio seu qualquer delas. </w:t>
      </w:r>
    </w:p>
    <w:p w:rsidR="00A64631" w:rsidRDefault="00A64631" w:rsidP="00A64631">
      <w:pPr>
        <w:pStyle w:val="Transcrio"/>
        <w:rPr>
          <w:b/>
          <w:bCs/>
        </w:rPr>
      </w:pPr>
      <w:r>
        <w:rPr>
          <w:b/>
          <w:bCs/>
        </w:rPr>
        <w:t>Art.72</w:t>
      </w:r>
      <w:r>
        <w:t xml:space="preserve">. </w:t>
      </w:r>
      <w:r>
        <w:rPr>
          <w:b/>
          <w:bCs/>
        </w:rPr>
        <w:t xml:space="preserve">É também domicílio da pessoa natural, quanto às relações concernentes à profissão, o lugar onde esta é exercida. </w:t>
      </w:r>
    </w:p>
    <w:p w:rsidR="00A64631" w:rsidRDefault="00A64631" w:rsidP="00A64631">
      <w:pPr>
        <w:pStyle w:val="Transcrio"/>
        <w:rPr>
          <w:b/>
          <w:bCs/>
          <w:i/>
          <w:iCs/>
        </w:rPr>
      </w:pPr>
      <w:r>
        <w:rPr>
          <w:b/>
          <w:bCs/>
        </w:rPr>
        <w:t xml:space="preserve">Parágrafo único. </w:t>
      </w:r>
      <w:proofErr w:type="gramStart"/>
      <w:r>
        <w:rPr>
          <w:b/>
          <w:bCs/>
        </w:rPr>
        <w:t>Se a pessoa exercitar profissão em lugares diversos, cada um deles constituirá domicílio para as relações que lhe correspondem.”</w:t>
      </w:r>
      <w:proofErr w:type="gramEnd"/>
      <w:r>
        <w:rPr>
          <w:b/>
          <w:bCs/>
        </w:rPr>
        <w:t xml:space="preserve"> </w:t>
      </w:r>
      <w:r>
        <w:rPr>
          <w:i/>
          <w:iCs/>
        </w:rPr>
        <w:t>(grifo nosso)</w:t>
      </w:r>
      <w:r>
        <w:rPr>
          <w:b/>
          <w:bCs/>
        </w:rPr>
        <w:t xml:space="preserve"> </w:t>
      </w:r>
    </w:p>
    <w:p w:rsidR="00A64631" w:rsidRDefault="00A64631" w:rsidP="00A64631">
      <w:pPr>
        <w:pStyle w:val="Corpo"/>
        <w:rPr>
          <w:b/>
          <w:bCs/>
        </w:rPr>
      </w:pPr>
    </w:p>
    <w:p w:rsidR="00A64631" w:rsidRDefault="00A64631" w:rsidP="00A64631">
      <w:pPr>
        <w:pStyle w:val="Corpo"/>
      </w:pPr>
      <w:r>
        <w:t>Conforme se percebe, o atual Código Civil brasileiro admite que, em caso de pluralidade de residências, para efeitos profissionais, qualquer delas será reputada domicílio da pessoa.</w:t>
      </w:r>
    </w:p>
    <w:p w:rsidR="00A64631" w:rsidRDefault="00A64631" w:rsidP="00A64631">
      <w:pPr>
        <w:pStyle w:val="Corpo"/>
      </w:pPr>
      <w:proofErr w:type="gramStart"/>
      <w:r>
        <w:t xml:space="preserve">Daí se segue que, no âmbito do Direito do Trabalho, a meu juízo, o fato gerador do direito ao adicional de transferência, em última análise, é a alteração do local contratual de trabalho de uma cidade para outra, quer isso implique a necessidade de o empregado fazer-se acompanhar da </w:t>
      </w:r>
      <w:r>
        <w:rPr>
          <w:b/>
          <w:bCs/>
        </w:rPr>
        <w:t xml:space="preserve">família, </w:t>
      </w:r>
      <w:r>
        <w:t>quer</w:t>
      </w:r>
      <w:r>
        <w:rPr>
          <w:b/>
          <w:bCs/>
        </w:rPr>
        <w:t xml:space="preserve"> não.</w:t>
      </w:r>
      <w:proofErr w:type="gramEnd"/>
      <w:r>
        <w:rPr>
          <w:b/>
          <w:bCs/>
        </w:rPr>
        <w:t xml:space="preserve"> </w:t>
      </w:r>
      <w:r>
        <w:t>O que sobreleva, a meu juízo, é a circunstância de haver uma transitória modificação do centro da atividade profissional, que passa de um município para outro.</w:t>
      </w:r>
    </w:p>
    <w:p w:rsidR="00A64631" w:rsidRDefault="00A64631" w:rsidP="00A64631">
      <w:pPr>
        <w:pStyle w:val="Corpo"/>
      </w:pPr>
      <w:r>
        <w:t xml:space="preserve">Bem se compreende que assim seja porquanto se cuida de uma compensação financeira devida ao empregado em face dos transtornos pessoais (e, às vezes, familiares!) resultantes da inserção provisória no plano de outra comunidade. </w:t>
      </w:r>
    </w:p>
    <w:p w:rsidR="00A64631" w:rsidRDefault="00A64631" w:rsidP="00A64631">
      <w:pPr>
        <w:pStyle w:val="Corpo"/>
      </w:pPr>
      <w:r>
        <w:t xml:space="preserve">Não me parece decisivo, assim, sobretudo agora em face do novo Código Civil, que se vincule o conceito de transferência ao deslocamento </w:t>
      </w:r>
      <w:r>
        <w:rPr>
          <w:b/>
          <w:bCs/>
        </w:rPr>
        <w:t>também</w:t>
      </w:r>
      <w:r>
        <w:t xml:space="preserve"> </w:t>
      </w:r>
      <w:r>
        <w:rPr>
          <w:b/>
          <w:bCs/>
        </w:rPr>
        <w:t>da família</w:t>
      </w:r>
      <w:r>
        <w:t xml:space="preserve">, até porque se o adicional em tela está condicionado à provisoriedade da prestação de serviços, natural que a família persista </w:t>
      </w:r>
      <w:proofErr w:type="gramStart"/>
      <w:r>
        <w:t>deitando raízes</w:t>
      </w:r>
      <w:proofErr w:type="gramEnd"/>
      <w:r>
        <w:t xml:space="preserve"> na </w:t>
      </w:r>
      <w:r>
        <w:lastRenderedPageBreak/>
        <w:t>localidade eleita ao tempo da contratação do empregado.</w:t>
      </w:r>
    </w:p>
    <w:p w:rsidR="00A64631" w:rsidRDefault="00A64631" w:rsidP="00A64631">
      <w:pPr>
        <w:pStyle w:val="Corpo"/>
      </w:pPr>
      <w:r>
        <w:t>Insisto: o adicional é devido porque o empregador unilateralmente muda a cidade de prestação de serviços do empregado, independentemente da diretriz abraçada pela família em tal contingência, ou seja, independentemente de acompanhá-lo ou não.</w:t>
      </w:r>
    </w:p>
    <w:p w:rsidR="00A64631" w:rsidRDefault="00A64631" w:rsidP="00A64631">
      <w:pPr>
        <w:pStyle w:val="Corpo"/>
      </w:pPr>
      <w:r>
        <w:t>Na espécie, extrai-se da leitura do v. acórdão regional que, indubitavelmente, o Reclamante foi contratado em Pelotas (RS) e exerceu suas atividades profissionais na vizinha cidade de Rio Grande (RS), onde permanecia hospedado em hotel. Em Rio Grande prestava serviços, como vendedor, nos dias úteis da semana. Aos finais de semana, retornava a Pelotas, onde a família permaneceu residindo.</w:t>
      </w:r>
    </w:p>
    <w:p w:rsidR="00A64631" w:rsidRDefault="00A64631" w:rsidP="00A64631">
      <w:pPr>
        <w:pStyle w:val="Corpo"/>
      </w:pPr>
      <w:r>
        <w:t xml:space="preserve">Sucede, contudo, que o acórdão regional não permite inferir, com segurança, que o Recorrente foi contratado em Pelotas e depois transferido para Rio Grande. </w:t>
      </w:r>
    </w:p>
    <w:p w:rsidR="00A64631" w:rsidRDefault="00A64631" w:rsidP="00A64631">
      <w:pPr>
        <w:pStyle w:val="Corpo"/>
      </w:pPr>
      <w:r>
        <w:t xml:space="preserve">É bem verdade que, segundo o </w:t>
      </w:r>
      <w:proofErr w:type="spellStart"/>
      <w:r>
        <w:t>Eg</w:t>
      </w:r>
      <w:proofErr w:type="spellEnd"/>
      <w:r>
        <w:t xml:space="preserve">. Regional, a “transferência do local da prestação de serviços, pelos termos da contestação, é incontroversa, pois a reclamada admite o trabalho em tal localidade”. </w:t>
      </w:r>
    </w:p>
    <w:p w:rsidR="00A64631" w:rsidRDefault="00A64631" w:rsidP="00A64631">
      <w:pPr>
        <w:pStyle w:val="Corpo"/>
      </w:pPr>
      <w:r>
        <w:t xml:space="preserve">Aqui, </w:t>
      </w:r>
      <w:r>
        <w:rPr>
          <w:i/>
          <w:iCs/>
        </w:rPr>
        <w:t xml:space="preserve">data </w:t>
      </w:r>
      <w:proofErr w:type="spellStart"/>
      <w:r>
        <w:rPr>
          <w:i/>
          <w:iCs/>
        </w:rPr>
        <w:t>venia</w:t>
      </w:r>
      <w:proofErr w:type="spellEnd"/>
      <w:r>
        <w:t xml:space="preserve">, o </w:t>
      </w:r>
      <w:proofErr w:type="spellStart"/>
      <w:r>
        <w:t>Eg</w:t>
      </w:r>
      <w:proofErr w:type="spellEnd"/>
      <w:r>
        <w:t xml:space="preserve">. Regional pode ter cometido um equívoco visto que o só fato de o empregado haver sido contratado em Pelotas e trabalhado em Rio Grande não autoriza concluir inequivocamente que houve transferência. É perfeitamente factível, por exemplo, que a contratação haja sido </w:t>
      </w:r>
      <w:r>
        <w:rPr>
          <w:b/>
          <w:bCs/>
        </w:rPr>
        <w:t xml:space="preserve">já </w:t>
      </w:r>
      <w:r>
        <w:t xml:space="preserve">para trabalhar diretamente em Rio Grande, </w:t>
      </w:r>
      <w:r>
        <w:rPr>
          <w:b/>
          <w:bCs/>
        </w:rPr>
        <w:t>ou</w:t>
      </w:r>
      <w:r>
        <w:t xml:space="preserve"> inicialmente para trabalhar em Pelotas </w:t>
      </w:r>
      <w:r>
        <w:rPr>
          <w:b/>
          <w:bCs/>
        </w:rPr>
        <w:t>e</w:t>
      </w:r>
      <w:r>
        <w:t xml:space="preserve"> em Rio Grande e, depois, por conveniência da empresa, a zona de trabalho do Reclamante haja sido </w:t>
      </w:r>
      <w:proofErr w:type="gramStart"/>
      <w:r>
        <w:t>restringida</w:t>
      </w:r>
      <w:proofErr w:type="gramEnd"/>
      <w:r>
        <w:t xml:space="preserve"> ao município de Rio Grande. </w:t>
      </w:r>
    </w:p>
    <w:p w:rsidR="00A64631" w:rsidRDefault="00A64631" w:rsidP="00A64631">
      <w:pPr>
        <w:pStyle w:val="Corpo"/>
      </w:pPr>
      <w:r>
        <w:t>Note-se que o próprio acórdão recorrido afirma que as testemunhas em “nada” se referiram à transferência em foco (fls. 174/175).</w:t>
      </w:r>
    </w:p>
    <w:p w:rsidR="00A64631" w:rsidRDefault="00A64631" w:rsidP="00A64631">
      <w:pPr>
        <w:pStyle w:val="Corpo"/>
      </w:pPr>
      <w:proofErr w:type="gramStart"/>
      <w:r>
        <w:t xml:space="preserve">De sorte que, no caso concreto, em meu entender, o Recorrente realmente não faz jus ao adicional de transferência em face de não se divisar no acórdão regional juízo conclusivo e seguro da transferência do </w:t>
      </w:r>
      <w:r>
        <w:lastRenderedPageBreak/>
        <w:t>empregado, isto é, de que, contratado em Pelotas e lá havendo trabalhado, em dado momento haja sido removido pela empresa para atuar em Rio Grande.</w:t>
      </w:r>
      <w:proofErr w:type="gramEnd"/>
      <w:r>
        <w:t xml:space="preserve"> </w:t>
      </w:r>
    </w:p>
    <w:p w:rsidR="00A64631" w:rsidRDefault="00A64631" w:rsidP="00A64631">
      <w:pPr>
        <w:pStyle w:val="Corpo"/>
      </w:pPr>
      <w:r>
        <w:t xml:space="preserve">Para escoimar quaisquer dúvidas, impende registrar que a própria petição inicial afirma que ao menos nos últimos cinco anos do contrato de emprego o Reclamante trabalhou em Rio Grande. Tal fato é absolutamente incontroverso nos autos e, como tal, pode ser tido por verdadeiro. </w:t>
      </w:r>
    </w:p>
    <w:p w:rsidR="00A64631" w:rsidRDefault="00A64631" w:rsidP="00A64631">
      <w:pPr>
        <w:pStyle w:val="Corpo"/>
      </w:pPr>
      <w:r>
        <w:t>Ora, se assim é, no mínimo a transferência, se houve, não se deu em caráter provisório.</w:t>
      </w:r>
    </w:p>
    <w:p w:rsidR="00A64631" w:rsidRDefault="00A64631" w:rsidP="00A64631">
      <w:pPr>
        <w:pStyle w:val="Corpo"/>
      </w:pPr>
      <w:r>
        <w:t xml:space="preserve">Em conclusão: por fundamentos diversos, </w:t>
      </w:r>
      <w:r>
        <w:rPr>
          <w:i/>
          <w:iCs/>
        </w:rPr>
        <w:t xml:space="preserve">data </w:t>
      </w:r>
      <w:proofErr w:type="spellStart"/>
      <w:r>
        <w:rPr>
          <w:i/>
          <w:iCs/>
        </w:rPr>
        <w:t>venia</w:t>
      </w:r>
      <w:proofErr w:type="spellEnd"/>
      <w:r>
        <w:rPr>
          <w:i/>
          <w:iCs/>
        </w:rPr>
        <w:t>,</w:t>
      </w:r>
      <w:r>
        <w:t xml:space="preserve"> mantenho o acórdão recorrido.</w:t>
      </w:r>
    </w:p>
    <w:p w:rsidR="00A64631" w:rsidRDefault="00A64631" w:rsidP="00A64631">
      <w:r>
        <w:t xml:space="preserve">Ante o exposto, </w:t>
      </w:r>
      <w:r>
        <w:rPr>
          <w:b/>
          <w:bCs/>
        </w:rPr>
        <w:t>nego provimento</w:t>
      </w:r>
      <w:r>
        <w:t xml:space="preserve"> ao recurso.</w:t>
      </w:r>
      <w:bookmarkStart w:id="2" w:name="_GoBack"/>
      <w:bookmarkEnd w:id="2"/>
    </w:p>
    <w:sectPr w:rsidR="00A646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4631"/>
    <w:rsid w:val="002705B1"/>
    <w:rsid w:val="00720715"/>
    <w:rsid w:val="00933A7B"/>
    <w:rsid w:val="00A646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A64631"/>
    <w:pPr>
      <w:spacing w:before="100" w:beforeAutospacing="1" w:after="100" w:afterAutospacing="1" w:line="240" w:lineRule="auto"/>
    </w:pPr>
    <w:rPr>
      <w:rFonts w:ascii="Times New Roman" w:eastAsia="Times New Roman" w:hAnsi="Times New Roman" w:cs="Times New Roman"/>
      <w:noProof w:val="0"/>
      <w:sz w:val="24"/>
      <w:szCs w:val="24"/>
      <w:lang w:eastAsia="pt-BR"/>
    </w:rPr>
  </w:style>
  <w:style w:type="character" w:styleId="Forte">
    <w:name w:val="Strong"/>
    <w:basedOn w:val="Fontepargpadro"/>
    <w:uiPriority w:val="22"/>
    <w:qFormat/>
    <w:rsid w:val="00A64631"/>
    <w:rPr>
      <w:b/>
      <w:bCs/>
    </w:rPr>
  </w:style>
  <w:style w:type="character" w:styleId="Hyperlink">
    <w:name w:val="Hyperlink"/>
    <w:basedOn w:val="Fontepargpadro"/>
    <w:uiPriority w:val="99"/>
    <w:semiHidden/>
    <w:unhideWhenUsed/>
    <w:rsid w:val="00A64631"/>
    <w:rPr>
      <w:color w:val="0000FF"/>
      <w:u w:val="single"/>
    </w:rPr>
  </w:style>
  <w:style w:type="paragraph" w:customStyle="1" w:styleId="Corpo">
    <w:name w:val="Corpo"/>
    <w:uiPriority w:val="99"/>
    <w:rsid w:val="00A64631"/>
    <w:pPr>
      <w:widowControl w:val="0"/>
      <w:autoSpaceDE w:val="0"/>
      <w:autoSpaceDN w:val="0"/>
      <w:spacing w:after="0" w:line="360" w:lineRule="atLeast"/>
      <w:ind w:firstLine="2551"/>
      <w:jc w:val="both"/>
    </w:pPr>
    <w:rPr>
      <w:rFonts w:ascii="Courier New" w:eastAsiaTheme="minorEastAsia" w:hAnsi="Courier New" w:cs="Courier New"/>
      <w:color w:val="000000"/>
      <w:sz w:val="24"/>
      <w:szCs w:val="24"/>
      <w:lang w:eastAsia="pt-BR"/>
    </w:rPr>
  </w:style>
  <w:style w:type="paragraph" w:customStyle="1" w:styleId="Transcrio">
    <w:name w:val="Transcrição"/>
    <w:uiPriority w:val="99"/>
    <w:rsid w:val="00A64631"/>
    <w:pPr>
      <w:widowControl w:val="0"/>
      <w:autoSpaceDE w:val="0"/>
      <w:autoSpaceDN w:val="0"/>
      <w:spacing w:after="0" w:line="240" w:lineRule="auto"/>
      <w:ind w:left="2551" w:firstLine="567"/>
      <w:jc w:val="both"/>
    </w:pPr>
    <w:rPr>
      <w:rFonts w:ascii="Times New Roman" w:eastAsiaTheme="minorEastAsia" w:hAnsi="Times New Roman" w:cs="Times New Roman"/>
      <w:color w:val="000000"/>
      <w:sz w:val="24"/>
      <w:szCs w:val="24"/>
      <w:lang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A64631"/>
    <w:pPr>
      <w:spacing w:before="100" w:beforeAutospacing="1" w:after="100" w:afterAutospacing="1" w:line="240" w:lineRule="auto"/>
    </w:pPr>
    <w:rPr>
      <w:rFonts w:ascii="Times New Roman" w:eastAsia="Times New Roman" w:hAnsi="Times New Roman" w:cs="Times New Roman"/>
      <w:noProof w:val="0"/>
      <w:sz w:val="24"/>
      <w:szCs w:val="24"/>
      <w:lang w:eastAsia="pt-BR"/>
    </w:rPr>
  </w:style>
  <w:style w:type="character" w:styleId="Forte">
    <w:name w:val="Strong"/>
    <w:basedOn w:val="Fontepargpadro"/>
    <w:uiPriority w:val="22"/>
    <w:qFormat/>
    <w:rsid w:val="00A64631"/>
    <w:rPr>
      <w:b/>
      <w:bCs/>
    </w:rPr>
  </w:style>
  <w:style w:type="character" w:styleId="Hyperlink">
    <w:name w:val="Hyperlink"/>
    <w:basedOn w:val="Fontepargpadro"/>
    <w:uiPriority w:val="99"/>
    <w:semiHidden/>
    <w:unhideWhenUsed/>
    <w:rsid w:val="00A64631"/>
    <w:rPr>
      <w:color w:val="0000FF"/>
      <w:u w:val="single"/>
    </w:rPr>
  </w:style>
  <w:style w:type="paragraph" w:customStyle="1" w:styleId="Corpo">
    <w:name w:val="Corpo"/>
    <w:uiPriority w:val="99"/>
    <w:rsid w:val="00A64631"/>
    <w:pPr>
      <w:widowControl w:val="0"/>
      <w:autoSpaceDE w:val="0"/>
      <w:autoSpaceDN w:val="0"/>
      <w:spacing w:after="0" w:line="360" w:lineRule="atLeast"/>
      <w:ind w:firstLine="2551"/>
      <w:jc w:val="both"/>
    </w:pPr>
    <w:rPr>
      <w:rFonts w:ascii="Courier New" w:eastAsiaTheme="minorEastAsia" w:hAnsi="Courier New" w:cs="Courier New"/>
      <w:color w:val="000000"/>
      <w:sz w:val="24"/>
      <w:szCs w:val="24"/>
      <w:lang w:eastAsia="pt-BR"/>
    </w:rPr>
  </w:style>
  <w:style w:type="paragraph" w:customStyle="1" w:styleId="Transcrio">
    <w:name w:val="Transcrição"/>
    <w:uiPriority w:val="99"/>
    <w:rsid w:val="00A64631"/>
    <w:pPr>
      <w:widowControl w:val="0"/>
      <w:autoSpaceDE w:val="0"/>
      <w:autoSpaceDN w:val="0"/>
      <w:spacing w:after="0" w:line="240" w:lineRule="auto"/>
      <w:ind w:left="2551" w:firstLine="567"/>
      <w:jc w:val="both"/>
    </w:pPr>
    <w:rPr>
      <w:rFonts w:ascii="Times New Roman" w:eastAsiaTheme="minorEastAsia" w:hAnsi="Times New Roman" w:cs="Times New Roman"/>
      <w:color w:val="000000"/>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8779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planalto.gov.br/ccivil_03/LEIS/L6203.htm" TargetMode="External"/><Relationship Id="rId5" Type="http://schemas.openxmlformats.org/officeDocument/2006/relationships/hyperlink" Target="http://www.planalto.gov.br/ccivil_03/LEIS/L6203.ht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1072</Words>
  <Characters>5791</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dc:creator>
  <cp:lastModifiedBy>Antonio</cp:lastModifiedBy>
  <cp:revision>1</cp:revision>
  <dcterms:created xsi:type="dcterms:W3CDTF">2013-02-25T18:03:00Z</dcterms:created>
  <dcterms:modified xsi:type="dcterms:W3CDTF">2013-02-25T18:09:00Z</dcterms:modified>
</cp:coreProperties>
</file>