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37" w:rsidRPr="00E050CD" w:rsidRDefault="00F60437" w:rsidP="00F60437">
      <w:pPr>
        <w:rPr>
          <w:b/>
          <w:sz w:val="28"/>
          <w:szCs w:val="28"/>
        </w:rPr>
      </w:pPr>
      <w:r w:rsidRPr="00E050CD">
        <w:rPr>
          <w:b/>
          <w:sz w:val="28"/>
          <w:szCs w:val="28"/>
        </w:rPr>
        <w:t>Pesquisa para automatização de um estacionamento</w:t>
      </w:r>
    </w:p>
    <w:p w:rsidR="004E50A6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Controle de rotativos/horistas;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Cadastro com controle personalizado;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Extremamente flexível, permitindo convênios e até condições especiais de preço;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Diferentes níveis de permissão de uso, dando maior segurança;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Impressão de cupons de entrada e saída com código de barras;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Gestão simples e eficiente do caixa;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Relatórios gerenciais;</w:t>
      </w:r>
    </w:p>
    <w:p w:rsidR="00F60437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 xml:space="preserve">- </w:t>
      </w:r>
      <w:r w:rsidR="00F60437" w:rsidRPr="004E50A6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pt-BR"/>
        </w:rPr>
        <w:t>Backup e cópia de segurança dos dados.</w:t>
      </w:r>
    </w:p>
    <w:p w:rsidR="004E50A6" w:rsidRPr="004E50A6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7"/>
          <w:szCs w:val="27"/>
          <w:lang w:eastAsia="pt-BR"/>
        </w:rPr>
      </w:pPr>
      <w:r w:rsidRPr="004E50A6">
        <w:rPr>
          <w:rFonts w:ascii="Arial" w:eastAsia="Times New Roman" w:hAnsi="Arial" w:cs="Arial"/>
          <w:b/>
          <w:color w:val="333333"/>
          <w:sz w:val="27"/>
          <w:szCs w:val="27"/>
          <w:lang w:eastAsia="pt-BR"/>
        </w:rPr>
        <w:t>COMPLEMENTO 01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  <w:t>-</w:t>
      </w: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  <w:t xml:space="preserve">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Simples e interativo;</w:t>
      </w:r>
      <w:bookmarkStart w:id="0" w:name="_GoBack"/>
      <w:bookmarkEnd w:id="0"/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-</w:t>
      </w: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Diversos relatórios gerenciais e financeiros;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Sistema pode ser instalado em qualquer computador padrão de mercado;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Módulos de comunicação, retaguarda e caixa separados;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Integração com sistemas de acesso;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Emissão de arquivo para nota fiscal;</w:t>
      </w:r>
    </w:p>
    <w:p w:rsidR="004E50A6" w:rsidRPr="00C8625D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F71A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- </w:t>
      </w:r>
      <w:r w:rsidRPr="00C8625D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Controla quantidade de vagas por grupos de veículos, possibilitando a cobrança avulsa quando exceder as vagas;</w:t>
      </w:r>
    </w:p>
    <w:p w:rsidR="004E50A6" w:rsidRPr="00F60437" w:rsidRDefault="004E50A6" w:rsidP="004E50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</w:p>
    <w:p w:rsidR="00D21CE0" w:rsidRDefault="00D21CE0"/>
    <w:sectPr w:rsidR="00D21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C50DA"/>
    <w:multiLevelType w:val="multilevel"/>
    <w:tmpl w:val="DE66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37"/>
    <w:rsid w:val="000F71A4"/>
    <w:rsid w:val="004E50A6"/>
    <w:rsid w:val="00D21CE0"/>
    <w:rsid w:val="00E050CD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011E"/>
  <w15:chartTrackingRefBased/>
  <w15:docId w15:val="{B40E3372-2AC4-49EB-92C0-CB1EED49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710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8</cp:revision>
  <dcterms:created xsi:type="dcterms:W3CDTF">2020-03-11T13:55:00Z</dcterms:created>
  <dcterms:modified xsi:type="dcterms:W3CDTF">2020-03-11T14:02:00Z</dcterms:modified>
</cp:coreProperties>
</file>