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FF6A00"/>
          <w:sz w:val="20"/>
          <w:szCs w:val="20"/>
        </w:rPr>
        <w:t xml:space="preserve">BOOSTER</w:t>
      </w:r>
    </w:p>
    <w:p>
      <w:pPr>
        <w:pStyle w:val="Title"/>
        <w:spacing w:after="100"/>
      </w:pPr>
      <w:r>
        <w:rPr>
          <w:b/>
          <w:bCs/>
          <w:color w:val="1C1C1C"/>
          <w:sz w:val="44"/>
          <w:szCs w:val="44"/>
        </w:rPr>
        <w:t xml:space="preserve">UX de Onboarding</w:t>
      </w:r>
    </w:p>
    <w:p>
      <w:pPr>
        <w:spacing w:after="400"/>
      </w:pPr>
      <w:r>
        <w:rPr>
          <w:i/>
          <w:iCs/>
          <w:color w:val="555555"/>
          <w:sz w:val="22"/>
          <w:szCs w:val="22"/>
        </w:rPr>
        <w:t xml:space="preserve">Cómo llega un cliente real a Booster — documento de diseño</w:t>
      </w:r>
    </w:p>
    <w:p>
      <w:pPr>
        <w:spacing w:after="160" w:line="300"/>
      </w:pPr>
      <w:r>
        <w:t xml:space="preserve">Vacío detectado el 17-ago-2026 (Alberto, viendo la lista técnica de </w:t>
      </w:r>
      <w:r>
        <w:rPr>
          <w:rFonts w:ascii="Consolas" w:cs="Consolas" w:eastAsia="Consolas" w:hAnsi="Consolas"/>
          <w:color w:val="B03A00"/>
          <w:sz w:val="20"/>
          <w:szCs w:val="20"/>
        </w:rPr>
        <w:t xml:space="preserve">x_booster_implementacion</w:t>
      </w:r>
      <w:r>
        <w:t xml:space="preserve"> en el backend de Odoo): faltaba conectar “cómo llega un prospecto a Booster antes de tener Odoo” con lo que el spec de Booster (</w:t>
      </w:r>
      <w:r>
        <w:rPr>
          <w:rFonts w:ascii="Consolas" w:cs="Consolas" w:eastAsia="Consolas" w:hAnsi="Consolas"/>
          <w:color w:val="B03A00"/>
          <w:sz w:val="20"/>
          <w:szCs w:val="20"/>
        </w:rPr>
        <w:t xml:space="preserve">EFFICAX_IA/Agentes_SAAS/agentes_v2/01-booster-implementador.md</w:t>
      </w:r>
      <w:r>
        <w:t xml:space="preserve">, cross-repo) YA define en detalle para las fases 1-4. Esta v2 del documento corrige eso: lo que sigue está basado en ese spec, no inventado — donde algo no está resuelto ahí, se marca explícito como pendiente de decisión de Alberto.</w:t>
      </w:r>
    </w:p>
    <w:p>
      <w:pPr>
        <w:spacing w:after="160" w:line="300"/>
      </w:pPr>
      <w:r>
        <w:rPr>
          <w:i/>
          <w:iCs/>
          <w:color w:val="555555"/>
        </w:rPr>
        <w:t xml:space="preserve">Este documento sigue siendo diseño, no código.</w:t>
      </w:r>
    </w:p>
    <w:p>
      <w:pPr>
        <w:pStyle w:val="Heading1"/>
        <w:pBdr>
          <w:bottom w:val="single" w:color="FF6A00" w:sz="6"/>
        </w:pBdr>
        <w:spacing w:after="200" w:before="400"/>
      </w:pPr>
      <w:r>
        <w:rPr>
          <w:b/>
          <w:bCs/>
          <w:color w:val="FF6A00"/>
          <w:sz w:val="30"/>
          <w:szCs w:val="30"/>
        </w:rPr>
        <w:t xml:space="preserve">Lo que el cliente NUNCA debe ver</w:t>
      </w:r>
    </w:p>
    <w:p>
      <w:pPr>
        <w:spacing w:after="160" w:line="300"/>
      </w:pPr>
      <w:r>
        <w:t xml:space="preserve">La lista/formulario de </w:t>
      </w:r>
      <w:r>
        <w:rPr>
          <w:rFonts w:ascii="Consolas" w:cs="Consolas" w:eastAsia="Consolas" w:hAnsi="Consolas"/>
          <w:color w:val="B03A00"/>
          <w:sz w:val="20"/>
          <w:szCs w:val="20"/>
        </w:rPr>
        <w:t xml:space="preserve">x_booster_implementacion</w:t>
      </w:r>
      <w:r>
        <w:t xml:space="preserve"> en el backend de Odoo es una vista de depuración para Efficax, generada automáticamente por Odoo para cualquier modelo custom — no tiene diseño, muestra campos crudos. </w:t>
      </w:r>
      <w:r>
        <w:rPr>
          <w:b/>
          <w:bCs/>
        </w:rPr>
        <w:t xml:space="preserve">No debe estar en el camino de ningún cliente.</w:t>
      </w:r>
      <w:r>
        <w:t xml:space="preserve"> La interfaz real es 100% el chat de Booster.</w:t>
      </w:r>
    </w:p>
    <w:p>
      <w:pPr>
        <w:pStyle w:val="Heading1"/>
        <w:pBdr>
          <w:bottom w:val="single" w:color="FF6A00" w:sz="6"/>
        </w:pBdr>
        <w:spacing w:after="200" w:before="400"/>
      </w:pPr>
      <w:r>
        <w:rPr>
          <w:b/>
          <w:bCs/>
          <w:color w:val="FF6A00"/>
          <w:sz w:val="30"/>
          <w:szCs w:val="30"/>
        </w:rPr>
        <w:t xml:space="preserve">El problema del huevo y la gallina</w:t>
      </w:r>
    </w:p>
    <w:p>
      <w:pPr>
        <w:spacing w:after="160" w:line="300"/>
      </w:pPr>
      <w:r>
        <w:t xml:space="preserve">Fase 1 de Booster ya funciona conversando por chat — pero ese chat vive DENTRO de una base de datos Odoo. Un prospecto que todavía no es cliente no tiene ninguna base de datos Odoo todavía.</w:t>
      </w:r>
    </w:p>
    <w:p>
      <w:pPr>
        <w:spacing w:after="160" w:line="300"/>
      </w:pPr>
      <w:r>
        <w:rPr>
          <w:b/>
          <w:bCs/>
        </w:rPr>
        <w:t xml:space="preserve">Propuesta (sin cambios respecto a v1): </w:t>
      </w:r>
      <w:r>
        <w:t xml:space="preserve">reusar </w:t>
      </w:r>
      <w:r>
        <w:rPr>
          <w:rFonts w:ascii="Consolas" w:cs="Consolas" w:eastAsia="Consolas" w:hAnsi="Consolas"/>
          <w:color w:val="B03A00"/>
          <w:sz w:val="20"/>
          <w:szCs w:val="20"/>
        </w:rPr>
        <w:t xml:space="preserve">saas_trial</w:t>
      </w:r>
      <w:r>
        <w:t xml:space="preserve"> (ya instalado en este mismo tenant, mismo mecanismo que lo creó) para que un clic en “Prueba Booster gratis” genere un tenant nuevo y vacío en minutos, sin tarjeta. Si el prospecto convierte en Fase 2, ES el mismo tenant el que sigue — nunca hay migración de “prueba” a “definitivo”.</w:t>
      </w:r>
    </w:p>
    <w:p>
      <w:pPr>
        <w:spacing w:after="160" w:line="300"/>
      </w:pPr>
      <w:r>
        <w:rPr>
          <w:b/>
          <w:bCs/>
        </w:rPr>
        <w:t xml:space="preserve">Corrección sobre v1 (punto de Alberto): </w:t>
      </w:r>
      <w:r>
        <w:t xml:space="preserve">ese primer clic no debería activar SOLO el SaaS de Odoo — debería disparar la activación de los demás servicios que Booster va a necesitar desde el arranque, según el checklist ya documentado en el README de Booster (“Requisito de diseño: TODOS los accesos se piden UNA sola vez”). Cuáles de esos servicios pueden activarse en modo trial/sandbox en el momento del clic (vs. cuáles requieren datos reales del negocio y por lo tanto esperan a Fase 3) es una decisión pendiente, servicio por servicio — no se resuelve acá con una lista inventada.</w:t>
      </w:r>
    </w:p>
    <w:p>
      <w:pPr>
        <w:pStyle w:val="Heading1"/>
        <w:pBdr>
          <w:bottom w:val="single" w:color="FF6A00" w:sz="6"/>
        </w:pBdr>
        <w:spacing w:after="200" w:before="400"/>
      </w:pPr>
      <w:r>
        <w:rPr>
          <w:b/>
          <w:bCs/>
          <w:color w:val="FF6A00"/>
          <w:sz w:val="30"/>
          <w:szCs w:val="30"/>
        </w:rPr>
        <w:t xml:space="preserve">Los TRES caminos reales de Fase 1 (no dos) — ya definidos en el spec</w:t>
      </w:r>
    </w:p>
    <w:p>
      <w:pPr>
        <w:spacing w:after="160" w:line="300"/>
      </w:pPr>
      <w:r>
        <w:t xml:space="preserve">Alberto preguntó por “nuevos vs. antiguos, y un tercero”. El spec de Booster ya distingue tres caminos, no dos, y el punto donde cada uno pide qué datos está definido:</w:t>
      </w:r>
    </w:p>
    <w:p>
      <w:pPr>
        <w:pStyle w:val="Heading2"/>
        <w:spacing w:after="140" w:before="320"/>
      </w:pPr>
      <w:r>
        <w:rPr>
          <w:b/>
          <w:bCs/>
          <w:color w:val="1C1C1C"/>
          <w:sz w:val="25"/>
          <w:szCs w:val="25"/>
        </w:rPr>
        <w:t xml:space="preserve">A. Cliente nuevo — sin operación previa</w:t>
      </w:r>
    </w:p>
    <w:p>
      <w:pPr>
        <w:spacing w:after="160" w:line="300"/>
      </w:pPr>
      <w:r>
        <w:t xml:space="preserve">No hay saldos, catálogo ni clientes que migrar. Fase 1 es puramente cualitativa: país/moneda → régimen fiscal → industria/qué vende → usuarios y roles → ¿dominio/correo? → dolores top-3. Fase 3 (post-checkout) provisiona un tenant limpio; el cliente crea sus primeros productos/clientes con ayuda de Booster mientras opera, no como una carga masiva previa.</w:t>
      </w:r>
    </w:p>
    <w:p>
      <w:pPr>
        <w:pStyle w:val="Heading2"/>
        <w:spacing w:after="140" w:before="320"/>
      </w:pPr>
      <w:r>
        <w:rPr>
          <w:b/>
          <w:bCs/>
          <w:color w:val="1C1C1C"/>
          <w:sz w:val="25"/>
          <w:szCs w:val="25"/>
        </w:rPr>
        <w:t xml:space="preserve">B. Cliente que ya opera, pero SIN Odoo (Excel, otro sistema, papel)</w:t>
      </w:r>
    </w:p>
    <w:p>
      <w:pPr>
        <w:spacing w:after="160" w:line="300"/>
      </w:pPr>
      <w:r>
        <w:t xml:space="preserve">Misma Fase 1 cualitativa, más una pregunta de spec ya definida: </w:t>
      </w:r>
      <w:r>
        <w:rPr>
          <w:b/>
          <w:bCs/>
        </w:rPr>
        <w:t xml:space="preserve">Fase 2 — “Propuesta y datos”</w:t>
      </w:r>
      <w:r>
        <w:t xml:space="preserve"> entrega </w:t>
      </w:r>
      <w:r>
        <w:rPr>
          <w:b/>
          <w:bCs/>
        </w:rPr>
        <w:t xml:space="preserve">plantillas</w:t>
      </w:r>
      <w:r>
        <w:t xml:space="preserve"> (productos, clientes, saldos de apertura, proveedores — campos base Odoo) y </w:t>
      </w:r>
      <w:r>
        <w:rPr>
          <w:b/>
          <w:bCs/>
        </w:rPr>
        <w:t xml:space="preserve">valida antes de importar</w:t>
      </w:r>
      <w:r>
        <w:t xml:space="preserve"> (SKU duplicados, RUC malformados, asiento de apertura cuadrado), reportando errores en lenguaje simple. La importación real ocurre recién en </w:t>
      </w:r>
      <w:r>
        <w:rPr>
          <w:b/>
          <w:bCs/>
        </w:rPr>
        <w:t xml:space="preserve">Fase 3</w:t>
      </w:r>
      <w:r>
        <w:t xml:space="preserve">, después del checkout — nunca antes de que el cliente haya pagado.</w:t>
      </w:r>
    </w:p>
    <w:p>
      <w:pPr>
        <w:pStyle w:val="Heading2"/>
        <w:spacing w:after="140" w:before="320"/>
      </w:pPr>
      <w:r>
        <w:rPr>
          <w:b/>
          <w:bCs/>
          <w:color w:val="1C1C1C"/>
          <w:sz w:val="25"/>
          <w:szCs w:val="25"/>
        </w:rPr>
        <w:t xml:space="preserve">C. Cliente que YA TIENE Odoo funcionando</w:t>
      </w:r>
    </w:p>
    <w:p>
      <w:pPr>
        <w:spacing w:after="160" w:line="300"/>
      </w:pPr>
      <w:r>
        <w:t xml:space="preserve">Camino distinto por completo — </w:t>
      </w:r>
      <w:r>
        <w:rPr>
          <w:b/>
          <w:bCs/>
        </w:rPr>
        <w:t xml:space="preserve">Fase 1-bis</w:t>
      </w:r>
      <w:r>
        <w:t xml:space="preserve">, ya especificada: se ejecuta sobre una copia </w:t>
      </w:r>
      <w:r>
        <w:rPr>
          <w:b/>
          <w:bCs/>
        </w:rPr>
        <w:t xml:space="preserve">staging</w:t>
      </w:r>
      <w:r>
        <w:t xml:space="preserve"> (nunca producción directa: si está en versión vieja, primero upgrade vía upgrade.odoo.com). Booster recorre y registra “como quien inventaría una casa habitada”: versión y hosting, módulos instalados, plan contable y localización fiscal existentes, usuarios/grupos, datos ya cargados, automatizaciones/IA previas. </w:t>
      </w:r>
      <w:r>
        <w:rPr>
          <w:b/>
          <w:bCs/>
        </w:rPr>
        <w:t xml:space="preserve">Todo lo detectado queda etiquetado “preexistente — prohibido tocar”.</w:t>
      </w:r>
      <w:r>
        <w:t xml:space="preserve"> Booster solo AGREGA lo que el cliente no tiene — si deja de pagar, se apagan únicamente las piezas agregadas, y el cliente sigue operando exactamente como antes de conocernos.</w:t>
      </w:r>
    </w:p>
    <w:p>
      <w:pPr>
        <w:spacing w:after="160" w:line="300"/>
      </w:pPr>
      <w:r>
        <w:rPr>
          <w:b/>
          <w:bCs/>
        </w:rPr>
        <w:t xml:space="preserve">¿Es esto lo que Alberto quiso decir con “el paquete 3”? </w:t>
      </w:r>
      <w:r>
        <w:t xml:space="preserve">Resuelto en conversación: es un plan/paquete de precio específico, no este tercer camino de onboarding — pendiente la referencia real (documento o enlace de Casa Efficax) para incorporar su impacto en este flujo.</w:t>
      </w:r>
    </w:p>
    <w:p>
      <w:pPr>
        <w:pStyle w:val="Heading1"/>
        <w:pBdr>
          <w:bottom w:val="single" w:color="FF6A00" w:sz="6"/>
        </w:pBdr>
        <w:spacing w:after="200" w:before="400"/>
      </w:pPr>
      <w:r>
        <w:rPr>
          <w:b/>
          <w:bCs/>
          <w:color w:val="FF6A00"/>
          <w:sz w:val="30"/>
          <w:szCs w:val="30"/>
        </w:rPr>
        <w:t xml:space="preserve">“¿Ya tiene Odoo?” es la pregunta bisagra</w:t>
      </w:r>
    </w:p>
    <w:p>
      <w:pPr>
        <w:spacing w:after="160" w:line="300"/>
      </w:pPr>
      <w:r>
        <w:t xml:space="preserve">Fase 1 ya incluye esta pregunta explícita (“¿ya tiene dominio/correo? → ¿ya tiene Odoo? [si sí → Fase 1-bis]”). Falta agregar, en el mismo punto, una pregunta hermana para cerrar el camino B: si NO tiene Odoo, ¿ya opera con datos reales en otro lado (Excel, otro sistema) que haya que migrar, o es un negocio nuevo? Sin esa pregunta explícita, el flujo no sabe si ofrecer las plantillas de Fase 2 (camino B) o saltarlas (camino A). Esto es un ajuste chico y concreto a Fase 1, no una fase nueva.</w:t>
      </w:r>
    </w:p>
    <w:p>
      <w:pPr>
        <w:pStyle w:val="Heading1"/>
        <w:pBdr>
          <w:bottom w:val="single" w:color="FF6A00" w:sz="6"/>
        </w:pBdr>
        <w:spacing w:after="200" w:before="400"/>
      </w:pPr>
      <w:r>
        <w:rPr>
          <w:b/>
          <w:bCs/>
          <w:color w:val="FF6A00"/>
          <w:sz w:val="30"/>
          <w:szCs w:val="30"/>
        </w:rPr>
        <w:t xml:space="preserve">Por qué el checkout va ANTES de tocar algo técnico</w:t>
      </w:r>
    </w:p>
    <w:p>
      <w:pPr>
        <w:spacing w:after="160" w:line="300"/>
      </w:pPr>
      <w:r>
        <w:t xml:space="preserve">Ejemplo concreto, tomado literal del spec: Fase 2 (Propuesta y datos) solo arma el carrito, cobra en el checkout de Casa Efficax, y —cuando aplica (camino B)— entrega plantillas y las valida. Nada de eso toca el Odoo real del cliente todavía. Recién en </w:t>
      </w:r>
      <w:r>
        <w:rPr>
          <w:b/>
          <w:bCs/>
        </w:rPr>
        <w:t xml:space="preserve">Fase 3 (Provisioning)</w:t>
      </w:r>
      <w:r>
        <w:t xml:space="preserve"> pasa lo técnico de verdad: localización fiscal, plan contable, permisos por rol, importación de los datos ya validados, branding, método de pago, agentes creados, llave de licencia instalada — y Fase 3 arranca únicamente después de que Fase 2 cerró con el pago. La razón: ni Efficax hace trabajo técnico real (conectar bancos, migrar datos, crear usuarios con permisos) para un prospecto que todavía podría no convertir, ni el cliente entrega datos sensibles reales (saldos, cartera de clientes) antes de haber decidido pagar.</w:t>
      </w:r>
    </w:p>
    <w:p>
      <w:pPr>
        <w:pStyle w:val="Heading1"/>
        <w:pBdr>
          <w:bottom w:val="single" w:color="FF6A00" w:sz="6"/>
        </w:pBdr>
        <w:spacing w:after="200" w:before="400"/>
      </w:pPr>
      <w:r>
        <w:rPr>
          <w:b/>
          <w:bCs/>
          <w:color w:val="FF6A00"/>
          <w:sz w:val="30"/>
          <w:szCs w:val="30"/>
        </w:rPr>
        <w:t xml:space="preserve">“Quiere ver que esté todo OK antes” — ya es la mejor práctica del spec (RF-20)</w:t>
      </w:r>
    </w:p>
    <w:p>
      <w:pPr>
        <w:spacing w:after="160" w:line="300"/>
      </w:pPr>
      <w:r>
        <w:t xml:space="preserve">Para los caminos B y C (clientes que ya operan), el spec ya define el protocolo, con nombre propio: </w:t>
      </w:r>
      <w:r>
        <w:rPr>
          <w:b/>
          <w:bCs/>
        </w:rPr>
        <w:t xml:space="preserve">“Protocolo producción (RF-20 — clientes que ya operan)”:</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8"/>
          <w:szCs w:val="18"/>
        </w:rPr>
        <w:t xml:space="preserve">Ensayo en copia/staging SIEMPRE</w:t>
      </w:r>
      <w:r>
        <w:rPr>
          <w:rFonts w:ascii="Consolas" w:cs="Consolas" w:eastAsia="Consolas" w:hAnsi="Consolas"/>
          <w:sz w:val="18"/>
          <w:szCs w:val="18"/>
        </w:rPr>
        <w:br/>
        <w:t xml:space="preserve">  -&gt; aprobación del CLIENTE revisando SUS PROPIOS datos en staging</w:t>
      </w:r>
      <w:r>
        <w:rPr>
          <w:rFonts w:ascii="Consolas" w:cs="Consolas" w:eastAsia="Consolas" w:hAnsi="Consolas"/>
          <w:sz w:val="18"/>
          <w:szCs w:val="18"/>
        </w:rPr>
        <w:br/>
        <w:t xml:space="preserve">  -&gt; backup manual</w:t>
      </w:r>
      <w:r>
        <w:rPr>
          <w:rFonts w:ascii="Consolas" w:cs="Consolas" w:eastAsia="Consolas" w:hAnsi="Consolas"/>
          <w:sz w:val="18"/>
          <w:szCs w:val="18"/>
        </w:rPr>
        <w:br/>
        <w:t xml:space="preserve">  -&gt; ejecución en ventana de baja actividad</w:t>
      </w:r>
      <w:r>
        <w:rPr>
          <w:rFonts w:ascii="Consolas" w:cs="Consolas" w:eastAsia="Consolas" w:hAnsi="Consolas"/>
          <w:sz w:val="18"/>
          <w:szCs w:val="18"/>
        </w:rPr>
        <w:br/>
        <w:t xml:space="preserve">  -&gt; todo aditivo (nunca se sobreescribe/borra lo existente)</w:t>
      </w:r>
      <w:r>
        <w:rPr>
          <w:rFonts w:ascii="Consolas" w:cs="Consolas" w:eastAsia="Consolas" w:hAnsi="Consolas"/>
          <w:sz w:val="18"/>
          <w:szCs w:val="18"/>
        </w:rPr>
        <w:br/>
        <w:t xml:space="preserve">  -&gt; rollback disponible vía inventario</w:t>
      </w:r>
    </w:p>
    <w:p>
      <w:pPr>
        <w:spacing w:after="160" w:line="300"/>
      </w:pPr>
      <w:r>
        <w:t xml:space="preserve">Y Fase 3 completa cierra con un smoke test automático antes de darse por “implementada”: el agente responde en Live Chat, el correo transaccional sale, el método de pago carga, la llave se renovó hoy — reporte verde/rojo al dueño y al tablero del Supervisor de Implementación. Nada se declara listo sin ese check. Esto responde directamente la pregunta de Alberto: el cliente que ya opera SÍ ve que todo está OK antes de que nada cambie de verdad — es política ya definida, solo faltaba conectarla con “cómo empieza el prospecto”.</w:t>
      </w:r>
    </w:p>
    <w:p>
      <w:pPr>
        <w:pStyle w:val="Heading1"/>
        <w:pBdr>
          <w:bottom w:val="single" w:color="FF6A00" w:sz="6"/>
        </w:pBdr>
        <w:spacing w:after="200" w:before="400"/>
      </w:pPr>
      <w:r>
        <w:rPr>
          <w:b/>
          <w:bCs/>
          <w:color w:val="FF6A00"/>
          <w:sz w:val="30"/>
          <w:szCs w:val="30"/>
        </w:rPr>
        <w:t xml:space="preserve">Flujo completo (v2, corregido)</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8"/>
          <w:szCs w:val="18"/>
        </w:rPr>
        <w:t xml:space="preserve">0. ENTRADA</w:t>
      </w:r>
      <w:r>
        <w:rPr>
          <w:rFonts w:ascii="Consolas" w:cs="Consolas" w:eastAsia="Consolas" w:hAnsi="Consolas"/>
          <w:sz w:val="18"/>
          <w:szCs w:val="18"/>
        </w:rPr>
        <w:br/>
        <w:t xml:space="preserve">   Clic en "Prueba Booster gratis" -&gt; activa el SaaS de Odoo (saas_trial)</w:t>
      </w:r>
      <w:r>
        <w:rPr>
          <w:rFonts w:ascii="Consolas" w:cs="Consolas" w:eastAsia="Consolas" w:hAnsi="Consolas"/>
          <w:sz w:val="18"/>
          <w:szCs w:val="18"/>
        </w:rPr>
        <w:br/>
        <w:t xml:space="preserve">   y los demás servicios del checklist que apliquen en modo trial</w:t>
      </w:r>
      <w:r>
        <w:rPr>
          <w:rFonts w:ascii="Consolas" w:cs="Consolas" w:eastAsia="Consolas" w:hAnsi="Consolas"/>
          <w:sz w:val="18"/>
          <w:szCs w:val="18"/>
        </w:rPr>
        <w:br/>
        <w:t xml:space="preserve">   (detalle pendiente, servicio por servicio).</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1. FASE 1 -- Descubrimiento (cualitativa, ya construida)</w:t>
      </w:r>
      <w:r>
        <w:rPr>
          <w:rFonts w:ascii="Consolas" w:cs="Consolas" w:eastAsia="Consolas" w:hAnsi="Consolas"/>
          <w:sz w:val="18"/>
          <w:szCs w:val="18"/>
        </w:rPr>
        <w:br/>
        <w:t xml:space="preserve">   país/moneda -&gt; régimen fiscal -&gt; industria/qué vende -&gt; usuarios y</w:t>
      </w:r>
      <w:r>
        <w:rPr>
          <w:rFonts w:ascii="Consolas" w:cs="Consolas" w:eastAsia="Consolas" w:hAnsi="Consolas"/>
          <w:sz w:val="18"/>
          <w:szCs w:val="18"/>
        </w:rPr>
        <w:br/>
        <w:t xml:space="preserve">   roles -&gt; ¿dominio/correo? -&gt; ¿ya tiene Odoo?</w:t>
      </w:r>
      <w:r>
        <w:rPr>
          <w:rFonts w:ascii="Consolas" w:cs="Consolas" w:eastAsia="Consolas" w:hAnsi="Consolas"/>
          <w:sz w:val="18"/>
          <w:szCs w:val="18"/>
        </w:rPr>
        <w:br/>
        <w:t xml:space="preserve">        |                                  |</w:t>
      </w:r>
      <w:r>
        <w:rPr>
          <w:rFonts w:ascii="Consolas" w:cs="Consolas" w:eastAsia="Consolas" w:hAnsi="Consolas"/>
          <w:sz w:val="18"/>
          <w:szCs w:val="18"/>
        </w:rPr>
        <w:br/>
        <w:t xml:space="preserve">        | NO                               | SI</w:t>
      </w:r>
      <w:r>
        <w:rPr>
          <w:rFonts w:ascii="Consolas" w:cs="Consolas" w:eastAsia="Consolas" w:hAnsi="Consolas"/>
          <w:sz w:val="18"/>
          <w:szCs w:val="18"/>
        </w:rPr>
        <w:br/>
        <w:t xml:space="preserve">        v                                  v</w:t>
      </w:r>
      <w:r>
        <w:rPr>
          <w:rFonts w:ascii="Consolas" w:cs="Consolas" w:eastAsia="Consolas" w:hAnsi="Consolas"/>
          <w:sz w:val="18"/>
          <w:szCs w:val="18"/>
        </w:rPr>
        <w:br/>
        <w:t xml:space="preserve">   ¿ya opera con datos reales     FASE 1-bis (staging, checklist de</w:t>
      </w:r>
      <w:r>
        <w:rPr>
          <w:rFonts w:ascii="Consolas" w:cs="Consolas" w:eastAsia="Consolas" w:hAnsi="Consolas"/>
          <w:sz w:val="18"/>
          <w:szCs w:val="18"/>
        </w:rPr>
        <w:br/>
        <w:t xml:space="preserve">   en otro lado?                  detección, "preexistente - prohibido</w:t>
      </w:r>
      <w:r>
        <w:rPr>
          <w:rFonts w:ascii="Consolas" w:cs="Consolas" w:eastAsia="Consolas" w:hAnsi="Consolas"/>
          <w:sz w:val="18"/>
          <w:szCs w:val="18"/>
        </w:rPr>
        <w:br/>
        <w:t xml:space="preserve">      |         |                 tocar", Booster solo agrega)</w:t>
      </w:r>
      <w:r>
        <w:rPr>
          <w:rFonts w:ascii="Consolas" w:cs="Consolas" w:eastAsia="Consolas" w:hAnsi="Consolas"/>
          <w:sz w:val="18"/>
          <w:szCs w:val="18"/>
        </w:rPr>
        <w:br/>
        <w:t xml:space="preserve">      | NO      | SI                        |</w:t>
      </w:r>
      <w:r>
        <w:rPr>
          <w:rFonts w:ascii="Consolas" w:cs="Consolas" w:eastAsia="Consolas" w:hAnsi="Consolas"/>
          <w:sz w:val="18"/>
          <w:szCs w:val="18"/>
        </w:rPr>
        <w:br/>
        <w:t xml:space="preserve">      v         v                           |</w:t>
      </w:r>
      <w:r>
        <w:rPr>
          <w:rFonts w:ascii="Consolas" w:cs="Consolas" w:eastAsia="Consolas" w:hAnsi="Consolas"/>
          <w:sz w:val="18"/>
          <w:szCs w:val="18"/>
        </w:rPr>
        <w:br/>
        <w:t xml:space="preserve">   [camino A] [camino B: se anota            |</w:t>
      </w:r>
      <w:r>
        <w:rPr>
          <w:rFonts w:ascii="Consolas" w:cs="Consolas" w:eastAsia="Consolas" w:hAnsi="Consolas"/>
          <w:sz w:val="18"/>
          <w:szCs w:val="18"/>
        </w:rPr>
        <w:br/>
        <w:t xml:space="preserve">              "requiere plantillas            |</w:t>
      </w:r>
      <w:r>
        <w:rPr>
          <w:rFonts w:ascii="Consolas" w:cs="Consolas" w:eastAsia="Consolas" w:hAnsi="Consolas"/>
          <w:sz w:val="18"/>
          <w:szCs w:val="18"/>
        </w:rPr>
        <w:br/>
        <w:t xml:space="preserve">              de datos" para Fase 2]          |</w:t>
      </w:r>
      <w:r>
        <w:rPr>
          <w:rFonts w:ascii="Consolas" w:cs="Consolas" w:eastAsia="Consolas" w:hAnsi="Consolas"/>
          <w:sz w:val="18"/>
          <w:szCs w:val="18"/>
        </w:rPr>
        <w:br/>
        <w:t xml:space="preserve">      |         |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2. FASE 2 -- Propuesta y datos</w:t>
      </w:r>
      <w:r>
        <w:rPr>
          <w:rFonts w:ascii="Consolas" w:cs="Consolas" w:eastAsia="Consolas" w:hAnsi="Consolas"/>
          <w:sz w:val="18"/>
          <w:szCs w:val="18"/>
        </w:rPr>
        <w:br/>
        <w:t xml:space="preserve">   Carrito (básico + sugeridos) -&gt; checkout en Casa Efficax (AQUÍ se</w:t>
      </w:r>
      <w:r>
        <w:rPr>
          <w:rFonts w:ascii="Consolas" w:cs="Consolas" w:eastAsia="Consolas" w:hAnsi="Consolas"/>
          <w:sz w:val="18"/>
          <w:szCs w:val="18"/>
        </w:rPr>
        <w:br/>
        <w:t xml:space="preserve">   paga). Si camino B: entrega plantillas (productos/clientes/saldos</w:t>
      </w:r>
      <w:r>
        <w:rPr>
          <w:rFonts w:ascii="Consolas" w:cs="Consolas" w:eastAsia="Consolas" w:hAnsi="Consolas"/>
          <w:sz w:val="18"/>
          <w:szCs w:val="18"/>
        </w:rPr>
        <w:br/>
        <w:t xml:space="preserve">   apertura/proveedores) y valida antes de importar.</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3. FASE 3 -- Provisioning (solo después del pago)</w:t>
      </w:r>
      <w:r>
        <w:rPr>
          <w:rFonts w:ascii="Consolas" w:cs="Consolas" w:eastAsia="Consolas" w:hAnsi="Consolas"/>
          <w:sz w:val="18"/>
          <w:szCs w:val="18"/>
        </w:rPr>
        <w:br/>
        <w:t xml:space="preserve">   Localización fiscal, plan contable, permisos por rol, importación de</w:t>
      </w:r>
      <w:r>
        <w:rPr>
          <w:rFonts w:ascii="Consolas" w:cs="Consolas" w:eastAsia="Consolas" w:hAnsi="Consolas"/>
          <w:sz w:val="18"/>
          <w:szCs w:val="18"/>
        </w:rPr>
        <w:br/>
        <w:t xml:space="preserve">   datos YA validados (camino B) o inventario "preexistente" respetado</w:t>
      </w:r>
      <w:r>
        <w:rPr>
          <w:rFonts w:ascii="Consolas" w:cs="Consolas" w:eastAsia="Consolas" w:hAnsi="Consolas"/>
          <w:sz w:val="18"/>
          <w:szCs w:val="18"/>
        </w:rPr>
        <w:br/>
        <w:t xml:space="preserve">   (camino C), branding, método de pago, agentes creados, llave</w:t>
      </w:r>
      <w:r>
        <w:rPr>
          <w:rFonts w:ascii="Consolas" w:cs="Consolas" w:eastAsia="Consolas" w:hAnsi="Consolas"/>
          <w:sz w:val="18"/>
          <w:szCs w:val="18"/>
        </w:rPr>
        <w:br/>
        <w:t xml:space="preserve">   instalada. Para B/C: protocolo RF-20 (staging -&gt; aprobación del</w:t>
      </w:r>
      <w:r>
        <w:rPr>
          <w:rFonts w:ascii="Consolas" w:cs="Consolas" w:eastAsia="Consolas" w:hAnsi="Consolas"/>
          <w:sz w:val="18"/>
          <w:szCs w:val="18"/>
        </w:rPr>
        <w:br/>
        <w:t xml:space="preserve">   cliente -&gt; backup -&gt; ventana de baja actividad -&gt; rollback</w:t>
      </w:r>
      <w:r>
        <w:rPr>
          <w:rFonts w:ascii="Consolas" w:cs="Consolas" w:eastAsia="Consolas" w:hAnsi="Consolas"/>
          <w:sz w:val="18"/>
          <w:szCs w:val="18"/>
        </w:rPr>
        <w:br/>
        <w:t xml:space="preserve">   disponible). Cierra con smoke test verde/rojo -- nada se da por</w:t>
      </w:r>
      <w:r>
        <w:rPr>
          <w:rFonts w:ascii="Consolas" w:cs="Consolas" w:eastAsia="Consolas" w:hAnsi="Consolas"/>
          <w:sz w:val="18"/>
          <w:szCs w:val="18"/>
        </w:rPr>
        <w:br/>
        <w:t xml:space="preserve">   implementado sin eso.</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4. FASE 4 -- Ajustes por agente + expediente del negocio</w:t>
      </w:r>
      <w:r>
        <w:rPr>
          <w:rFonts w:ascii="Consolas" w:cs="Consolas" w:eastAsia="Consolas" w:hAnsi="Consolas"/>
          <w:sz w:val="18"/>
          <w:szCs w:val="18"/>
        </w:rPr>
        <w:br/>
        <w:t xml:space="preserve">   (ya especificado en el spec, sin cambios de este documento)</w:t>
      </w:r>
    </w:p>
    <w:p>
      <w:pPr>
        <w:pStyle w:val="Heading1"/>
        <w:pBdr>
          <w:bottom w:val="single" w:color="FF6A00" w:sz="6"/>
        </w:pBdr>
        <w:spacing w:after="200" w:before="400"/>
      </w:pPr>
      <w:r>
        <w:rPr>
          <w:b/>
          <w:bCs/>
          <w:color w:val="FF6A00"/>
          <w:sz w:val="30"/>
          <w:szCs w:val="30"/>
        </w:rPr>
        <w:t xml:space="preserve">Lo que sigue pendiente de decisión de Alberto</w:t>
      </w:r>
    </w:p>
    <w:p>
      <w:pPr>
        <w:spacing w:after="100" w:line="300"/>
      </w:pPr>
      <w:r>
        <w:rPr>
          <w:b/>
          <w:bCs/>
        </w:rPr>
        <w:t xml:space="preserve">1. </w:t>
      </w:r>
      <w:r>
        <w:rPr>
          <w:b/>
          <w:bCs/>
        </w:rPr>
        <w:t xml:space="preserve">Confirmar qué es “el paquete 3” — resuelto: </w:t>
      </w:r>
      <w:r>
        <w:t xml:space="preserve">es un plan/paquete de precio específico. Sigue pendiente la referencia real (documento o enlace de Casa Efficax) antes de poder documentar su impacto en el flujo de arriba.</w:t>
      </w:r>
    </w:p>
    <w:p>
      <w:pPr>
        <w:spacing w:after="100" w:line="300"/>
      </w:pPr>
      <w:r>
        <w:rPr>
          <w:b/>
          <w:bCs/>
        </w:rPr>
        <w:t xml:space="preserve">2. </w:t>
      </w:r>
      <w:r>
        <w:t xml:space="preserve">Qué servicios del checklist de accesos pueden activarse en modo trial/sandbox desde el clic inicial, y cuáles esperan a Fase 3.</w:t>
      </w:r>
    </w:p>
    <w:p>
      <w:pPr>
        <w:spacing w:after="100" w:line="300"/>
      </w:pPr>
      <w:r>
        <w:rPr>
          <w:b/>
          <w:bCs/>
        </w:rPr>
        <w:t xml:space="preserve">3. </w:t>
      </w:r>
      <w:r>
        <w:t xml:space="preserve">¿El chat de Booster se auto-abre al primer login del trial, o requiere un primer clic del prospecto?</w:t>
      </w:r>
    </w:p>
    <w:p>
      <w:pPr>
        <w:spacing w:after="100" w:line="300"/>
      </w:pPr>
      <w:r>
        <w:rPr>
          <w:b/>
          <w:bCs/>
        </w:rPr>
        <w:t xml:space="preserve">4. </w:t>
      </w:r>
      <w:r>
        <w:t xml:space="preserve">¿Hay seguimiento a prospectos que abandonan a medio Fase 1 (hoy no hay ningún recordatorio)?</w:t>
      </w:r>
    </w:p>
    <w:p>
      <w:pPr>
        <w:spacing w:after="100" w:line="300"/>
      </w:pPr>
      <w:r>
        <w:rPr>
          <w:b/>
          <w:bCs/>
        </w:rPr>
        <w:t xml:space="preserve">5. </w:t>
      </w:r>
      <w:r>
        <w:t xml:space="preserve">Criterio exacto de “discovery suficiente” para ofrecer el checkout de Fase 2 — el spec no lo cuantifica.</w:t>
      </w:r>
    </w:p>
    <w:p>
      <w:pPr>
        <w:pBdr>
          <w:bottom w:val="single" w:color="DDDDDD" w:sz="4"/>
        </w:pBdr>
        <w:spacing w:after="300" w:before="100"/>
      </w:pPr>
      <w:r>
        <w:t xml:space="preserve"/>
      </w:r>
    </w:p>
    <w:p>
      <w:pPr>
        <w:spacing w:after="160" w:line="300"/>
      </w:pPr>
      <w:r>
        <w:rPr>
          <w:i/>
          <w:iCs/>
          <w:color w:val="555555"/>
        </w:rPr>
        <w:t xml:space="preserve">Documento de diseño — no toca código de Booster ni de Casa Efficax. Basado en el spec real de Booster (01-booster-implementador.md) y en la conversación de Alberto Ruiz con Claude, 17/18 de agosto de 2026.</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2026-08-18T17:25:04.594Z</dcterms:created>
  <dcterms:modified xsi:type="dcterms:W3CDTF">2026-08-18T17:25:04.595Z</dcterms:modified>
</cp:coreProperties>
</file>

<file path=docProps/custom.xml><?xml version="1.0" encoding="utf-8"?>
<Properties xmlns="http://schemas.openxmlformats.org/officeDocument/2006/custom-properties" xmlns:vt="http://schemas.openxmlformats.org/officeDocument/2006/docPropsVTypes"/>
</file>