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FF6A00"/>
          <w:sz w:val="20"/>
          <w:szCs w:val="20"/>
        </w:rPr>
        <w:t xml:space="preserve">EFFICAX SOLUTIONS S.A.</w:t>
      </w:r>
    </w:p>
    <w:p>
      <w:pPr>
        <w:pStyle w:val="Title"/>
        <w:spacing w:after="100"/>
      </w:pPr>
      <w:r>
        <w:rPr>
          <w:b/>
          <w:bCs/>
          <w:color w:val="1C1C1C"/>
          <w:sz w:val="40"/>
          <w:szCs w:val="40"/>
        </w:rPr>
        <w:t xml:space="preserve">Contrato de Prestación de Servicios</w:t>
      </w:r>
    </w:p>
    <w:p>
      <w:pPr>
        <w:spacing w:after="260"/>
      </w:pPr>
      <w:r>
        <w:rPr>
          <w:i/>
          <w:iCs/>
          <w:color w:val="555555"/>
          <w:sz w:val="22"/>
          <w:szCs w:val="22"/>
        </w:rPr>
        <w:t xml:space="preserve">Booster · Mentor — Versión Perú · Borrador v2 (incorpora observaciones de Alberto, 18-ago-2026)</w:t>
      </w:r>
    </w:p>
    <w:p>
      <w:pPr>
        <w:pBdr>
          <w:top w:val="single" w:color="FF6A00" w:sz="8"/>
          <w:bottom w:val="single" w:color="FF6A00" w:sz="8"/>
          <w:left w:val="single" w:color="FF6A00" w:sz="8"/>
          <w:right w:val="single" w:color="FF6A00" w:sz="8"/>
        </w:pBdr>
        <w:shd w:fill="FFF1E8" w:val="clear"/>
        <w:spacing w:after="300" w:before="200"/>
      </w:pPr>
      <w:r>
        <w:rPr>
          <w:b/>
          <w:bCs/>
          <w:sz w:val="20"/>
          <w:szCs w:val="20"/>
        </w:rPr>
        <w:t xml:space="preserve">BORRADOR — NO TIENE VALIDEZ LEGAL POR SÍ SOLO.</w:t>
      </w:r>
      <w:r>
        <w:rPr>
          <w:b w:val="false"/>
          <w:bCs w:val="false"/>
          <w:sz w:val="20"/>
          <w:szCs w:val="20"/>
        </w:rPr>
        <w:br/>
        <w:t xml:space="preserve">Versión 2: incorpora las 8 observaciones en rojo de Alberto (18-ago-2026). Punto de partida para revisión y visado de un abogado peruano antes de usarse con un cliente real. Lo resaltado en amarillo son datos de la empresa que Efficax debe completar; los plazos y montos concretos son propuestas específicas, editables. Nota legal importante en la cláusula 7: bajo el Código Civil peruano (art. 1328) no es válido pactar la exención total de responsabilidad por dolo o culpa inexcusable — la cláusula se redactó dentro de lo que sí es exigible para que no arriesgue nulidad.</w:t>
      </w:r>
    </w:p>
    <w:p>
      <w:pPr>
        <w:pStyle w:val="Heading1"/>
        <w:pBdr>
          <w:bottom w:val="single" w:color="FF6A00" w:sz="6"/>
        </w:pBdr>
        <w:spacing w:after="200" w:before="400"/>
      </w:pPr>
      <w:r>
        <w:rPr>
          <w:b/>
          <w:bCs/>
          <w:color w:val="FF6A00"/>
          <w:sz w:val="28"/>
          <w:szCs w:val="28"/>
        </w:rPr>
        <w:t xml:space="preserve">Comparecencia</w:t>
      </w:r>
    </w:p>
    <w:p>
      <w:pPr>
        <w:spacing w:after="160" w:line="300"/>
      </w:pPr>
      <w:r>
        <w:rPr>
          <w:b/>
          <w:bCs/>
          <w:sz w:val="21"/>
          <w:szCs w:val="21"/>
        </w:rPr>
        <w:t xml:space="preserve">EFFICAX SOLUTIONS S.A.</w:t>
      </w:r>
      <w:r>
        <w:rPr>
          <w:sz w:val="21"/>
          <w:szCs w:val="21"/>
        </w:rPr>
        <w:t xml:space="preserve">, con RUC </w:t>
      </w:r>
      <w:r>
        <w:rPr>
          <w:b/>
          <w:bCs/>
          <w:color w:val="B42318"/>
          <w:sz w:val="21"/>
          <w:szCs w:val="21"/>
          <w:highlight w:val="yellow"/>
          <w:highlightCs w:val="yellow"/>
        </w:rPr>
        <w:t xml:space="preserve">[RUC]</w:t>
      </w:r>
      <w:r>
        <w:rPr>
          <w:sz w:val="21"/>
          <w:szCs w:val="21"/>
        </w:rPr>
        <w:t xml:space="preserve">, con domicilio en </w:t>
      </w:r>
      <w:r>
        <w:rPr>
          <w:b/>
          <w:bCs/>
          <w:color w:val="B42318"/>
          <w:sz w:val="21"/>
          <w:szCs w:val="21"/>
          <w:highlight w:val="yellow"/>
          <w:highlightCs w:val="yellow"/>
        </w:rPr>
        <w:t xml:space="preserve">[dirección]</w:t>
      </w:r>
      <w:r>
        <w:rPr>
          <w:sz w:val="21"/>
          <w:szCs w:val="21"/>
        </w:rPr>
        <w:t xml:space="preserve">, Perú, debidamente representada por </w:t>
      </w:r>
      <w:r>
        <w:rPr>
          <w:b/>
          <w:bCs/>
          <w:color w:val="B42318"/>
          <w:sz w:val="21"/>
          <w:szCs w:val="21"/>
          <w:highlight w:val="yellow"/>
          <w:highlightCs w:val="yellow"/>
        </w:rPr>
        <w:t xml:space="preserve">[representante legal]</w:t>
      </w:r>
      <w:r>
        <w:rPr>
          <w:sz w:val="21"/>
          <w:szCs w:val="21"/>
        </w:rPr>
        <w:t xml:space="preserve"> (en adelante, </w:t>
      </w:r>
      <w:r>
        <w:rPr>
          <w:b/>
          <w:bCs/>
          <w:sz w:val="21"/>
          <w:szCs w:val="21"/>
        </w:rPr>
        <w:t xml:space="preserve">"EFFICAX"</w:t>
      </w:r>
      <w:r>
        <w:rPr>
          <w:sz w:val="21"/>
          <w:szCs w:val="21"/>
        </w:rPr>
        <w:t xml:space="preserve">); y</w:t>
      </w:r>
    </w:p>
    <w:p>
      <w:pPr>
        <w:spacing w:after="160" w:line="300"/>
      </w:pPr>
      <w:r>
        <w:rPr>
          <w:b/>
          <w:bCs/>
          <w:color w:val="B42318"/>
          <w:sz w:val="21"/>
          <w:szCs w:val="21"/>
          <w:highlight w:val="yellow"/>
          <w:highlightCs w:val="yellow"/>
        </w:rPr>
        <w:t xml:space="preserve">[Razón social del cliente]</w:t>
      </w:r>
      <w:r>
        <w:rPr>
          <w:sz w:val="21"/>
          <w:szCs w:val="21"/>
        </w:rPr>
        <w:t xml:space="preserve">, con RUC </w:t>
      </w:r>
      <w:r>
        <w:rPr>
          <w:b/>
          <w:bCs/>
          <w:color w:val="B42318"/>
          <w:sz w:val="21"/>
          <w:szCs w:val="21"/>
          <w:highlight w:val="yellow"/>
          <w:highlightCs w:val="yellow"/>
        </w:rPr>
        <w:t xml:space="preserve">[RUC del cliente]</w:t>
      </w:r>
      <w:r>
        <w:rPr>
          <w:sz w:val="21"/>
          <w:szCs w:val="21"/>
        </w:rPr>
        <w:t xml:space="preserve">, con domicilio en </w:t>
      </w:r>
      <w:r>
        <w:rPr>
          <w:b/>
          <w:bCs/>
          <w:color w:val="B42318"/>
          <w:sz w:val="21"/>
          <w:szCs w:val="21"/>
          <w:highlight w:val="yellow"/>
          <w:highlightCs w:val="yellow"/>
        </w:rPr>
        <w:t xml:space="preserve">[dirección]</w:t>
      </w:r>
      <w:r>
        <w:rPr>
          <w:sz w:val="21"/>
          <w:szCs w:val="21"/>
        </w:rPr>
        <w:t xml:space="preserve">, debidamente representada por </w:t>
      </w:r>
      <w:r>
        <w:rPr>
          <w:b/>
          <w:bCs/>
          <w:color w:val="B42318"/>
          <w:sz w:val="21"/>
          <w:szCs w:val="21"/>
          <w:highlight w:val="yellow"/>
          <w:highlightCs w:val="yellow"/>
        </w:rPr>
        <w:t xml:space="preserve">[representante legal]</w:t>
      </w:r>
      <w:r>
        <w:rPr>
          <w:sz w:val="21"/>
          <w:szCs w:val="21"/>
        </w:rPr>
        <w:t xml:space="preserve"> (en adelante, el </w:t>
      </w:r>
      <w:r>
        <w:rPr>
          <w:b/>
          <w:bCs/>
          <w:sz w:val="21"/>
          <w:szCs w:val="21"/>
        </w:rPr>
        <w:t xml:space="preserve">"CLIENTE"</w:t>
      </w:r>
      <w:r>
        <w:rPr>
          <w:sz w:val="21"/>
          <w:szCs w:val="21"/>
        </w:rPr>
        <w:t xml:space="preserve">);</w:t>
      </w:r>
    </w:p>
    <w:p>
      <w:pPr>
        <w:spacing w:after="160" w:line="300"/>
      </w:pPr>
      <w:r>
        <w:rPr>
          <w:sz w:val="21"/>
          <w:szCs w:val="21"/>
        </w:rPr>
        <w:t xml:space="preserve">acuerdan celebrar el presente Contrato de Prestación de Servicios (en adelante, el "Contrato"), conforme a las siguientes cláusulas:</w:t>
      </w:r>
    </w:p>
    <w:p>
      <w:pPr>
        <w:pStyle w:val="Heading1"/>
        <w:pBdr>
          <w:bottom w:val="single" w:color="FF6A00" w:sz="6"/>
        </w:pBdr>
        <w:spacing w:after="200" w:before="400"/>
      </w:pPr>
      <w:r>
        <w:rPr>
          <w:b/>
          <w:bCs/>
          <w:color w:val="FF6A00"/>
          <w:sz w:val="28"/>
          <w:szCs w:val="28"/>
        </w:rPr>
        <w:t xml:space="preserve">1. Objeto del contrato</w:t>
      </w:r>
    </w:p>
    <w:p>
      <w:pPr>
        <w:spacing w:after="140" w:line="300"/>
      </w:pPr>
      <w:r>
        <w:rPr>
          <w:b/>
          <w:bCs/>
          <w:sz w:val="21"/>
          <w:szCs w:val="21"/>
        </w:rPr>
        <w:t xml:space="preserve">1.1. </w:t>
      </w:r>
      <w:r>
        <w:rPr>
          <w:sz w:val="21"/>
          <w:szCs w:val="21"/>
        </w:rPr>
        <w:t xml:space="preserve">EFFICAX presta al CLIENTE acceso a </w:t>
      </w:r>
      <w:r>
        <w:rPr>
          <w:b/>
          <w:bCs/>
          <w:sz w:val="21"/>
          <w:szCs w:val="21"/>
        </w:rPr>
        <w:t xml:space="preserve">Booster</w:t>
      </w:r>
      <w:r>
        <w:rPr>
          <w:sz w:val="21"/>
          <w:szCs w:val="21"/>
        </w:rPr>
        <w:t xml:space="preserve">, su plataforma de agentes de inteligencia artificial, operada a través de </w:t>
      </w:r>
      <w:r>
        <w:rPr>
          <w:b/>
          <w:bCs/>
          <w:sz w:val="21"/>
          <w:szCs w:val="21"/>
        </w:rPr>
        <w:t xml:space="preserve">Mentor</w:t>
      </w:r>
      <w:r>
        <w:rPr>
          <w:sz w:val="21"/>
          <w:szCs w:val="21"/>
        </w:rPr>
        <w:t xml:space="preserve">, el copiloto que centraliza toda la interacción, para la automatización de procesos del negocio del CLIENTE (atención a clientes, ventas, recursos humanos, finanzas, inventarios, gestión legal-contractual y demás módulos contratados), conforme al plan de servicios detallado en el Anexo A.</w:t>
      </w:r>
    </w:p>
    <w:p>
      <w:pPr>
        <w:spacing w:after="140" w:line="300"/>
      </w:pPr>
      <w:r>
        <w:rPr>
          <w:b/>
          <w:bCs/>
          <w:sz w:val="21"/>
          <w:szCs w:val="21"/>
        </w:rPr>
        <w:t xml:space="preserve">1.2. </w:t>
      </w:r>
      <w:r>
        <w:rPr>
          <w:sz w:val="21"/>
          <w:szCs w:val="21"/>
        </w:rPr>
        <w:t xml:space="preserve">El alcance específico de los servicios, los módulos habilitados, la contraprestación económica y los niveles de servicio (SLA) se detallan en el </w:t>
      </w:r>
      <w:r>
        <w:rPr>
          <w:b/>
          <w:bCs/>
          <w:color w:val="B42318"/>
          <w:sz w:val="21"/>
          <w:szCs w:val="21"/>
          <w:highlight w:val="yellow"/>
          <w:highlightCs w:val="yellow"/>
        </w:rPr>
        <w:t xml:space="preserve">Anexo A (pendiente: se completa con el plan comercial que el CLIENTE contrate)</w:t>
      </w:r>
      <w:r>
        <w:rPr>
          <w:sz w:val="21"/>
          <w:szCs w:val="21"/>
        </w:rPr>
        <w:t xml:space="preserve">.</w:t>
      </w:r>
    </w:p>
    <w:p>
      <w:pPr>
        <w:pStyle w:val="Heading1"/>
        <w:pBdr>
          <w:bottom w:val="single" w:color="FF6A00" w:sz="6"/>
        </w:pBdr>
        <w:spacing w:after="200" w:before="400"/>
      </w:pPr>
      <w:r>
        <w:rPr>
          <w:b/>
          <w:bCs/>
          <w:color w:val="FF6A00"/>
          <w:sz w:val="28"/>
          <w:szCs w:val="28"/>
        </w:rPr>
        <w:t xml:space="preserve">2. Declaración sobre el uso de inteligencia artificial</w:t>
      </w:r>
    </w:p>
    <w:p>
      <w:pPr>
        <w:spacing w:after="140" w:line="300"/>
      </w:pPr>
      <w:r>
        <w:rPr>
          <w:b/>
          <w:bCs/>
          <w:sz w:val="21"/>
          <w:szCs w:val="21"/>
        </w:rPr>
        <w:t xml:space="preserve">2.1. </w:t>
      </w:r>
      <w:r>
        <w:rPr>
          <w:sz w:val="21"/>
          <w:szCs w:val="21"/>
        </w:rPr>
        <w:t xml:space="preserve">El CLIENTE reconoce y acepta que el Servicio opera mediante </w:t>
      </w:r>
      <w:r>
        <w:rPr>
          <w:b/>
          <w:bCs/>
          <w:sz w:val="21"/>
          <w:szCs w:val="21"/>
        </w:rPr>
        <w:t xml:space="preserve">Mentor</w:t>
      </w:r>
      <w:r>
        <w:rPr>
          <w:sz w:val="21"/>
          <w:szCs w:val="21"/>
        </w:rPr>
        <w:t xml:space="preserve">, el copiloto de inteligencia artificial de Booster desarrollado por EFFICAX. Toda interacción con el Servicio es, salvo indicación expresa en contrario, con Mentor -- no con una persona natural.</w:t>
      </w:r>
    </w:p>
    <w:p>
      <w:pPr>
        <w:spacing w:after="140" w:line="300"/>
      </w:pPr>
      <w:r>
        <w:rPr>
          <w:b/>
          <w:bCs/>
          <w:sz w:val="21"/>
          <w:szCs w:val="21"/>
        </w:rPr>
        <w:t xml:space="preserve">2.2. </w:t>
      </w:r>
      <w:r>
        <w:rPr>
          <w:sz w:val="21"/>
          <w:szCs w:val="21"/>
        </w:rPr>
        <w:t xml:space="preserve">Las respuestas generadas por el Servicio pueden contener errores y </w:t>
      </w:r>
      <w:r>
        <w:rPr>
          <w:b/>
          <w:bCs/>
          <w:sz w:val="21"/>
          <w:szCs w:val="21"/>
        </w:rPr>
        <w:t xml:space="preserve">no constituyen asesoría profesional</w:t>
      </w:r>
      <w:r>
        <w:rPr>
          <w:sz w:val="21"/>
          <w:szCs w:val="21"/>
        </w:rPr>
        <w:t xml:space="preserve"> (legal, contable, financiera, laboral u otra), salvo que se indique expresamente lo contrario en la respuesta misma.</w:t>
      </w:r>
    </w:p>
    <w:p>
      <w:pPr>
        <w:spacing w:after="140" w:line="300"/>
      </w:pPr>
      <w:r>
        <w:rPr>
          <w:b/>
          <w:bCs/>
          <w:sz w:val="21"/>
          <w:szCs w:val="21"/>
        </w:rPr>
        <w:t xml:space="preserve">2.3. </w:t>
      </w:r>
      <w:r>
        <w:rPr>
          <w:sz w:val="21"/>
          <w:szCs w:val="21"/>
        </w:rPr>
        <w:t xml:space="preserve">El CLIENTE es responsable de validar con criterio propio, o con el profesional que corresponda, cualquier decisión relevante tomada a partir de una respuesta generada por el Servicio.</w:t>
      </w:r>
    </w:p>
    <w:p>
      <w:pPr>
        <w:pStyle w:val="Heading1"/>
        <w:pBdr>
          <w:bottom w:val="single" w:color="FF6A00" w:sz="6"/>
        </w:pBdr>
        <w:spacing w:after="200" w:before="400"/>
      </w:pPr>
      <w:r>
        <w:rPr>
          <w:b/>
          <w:bCs/>
          <w:color w:val="FF6A00"/>
          <w:sz w:val="28"/>
          <w:szCs w:val="28"/>
        </w:rPr>
        <w:t xml:space="preserve">3. Derivación a atención humana</w:t>
      </w:r>
    </w:p>
    <w:p>
      <w:pPr>
        <w:spacing w:after="140" w:line="300"/>
      </w:pPr>
      <w:r>
        <w:rPr>
          <w:b/>
          <w:bCs/>
          <w:sz w:val="21"/>
          <w:szCs w:val="21"/>
        </w:rPr>
        <w:t xml:space="preserve">3.1. </w:t>
      </w:r>
      <w:r>
        <w:rPr>
          <w:sz w:val="21"/>
          <w:szCs w:val="21"/>
        </w:rPr>
        <w:t xml:space="preserve">El CLIENTE podrá solicitar en cualquier momento ser atendido por una persona de EFFICAX, enviando su solicitud al correo </w:t>
      </w:r>
      <w:r>
        <w:rPr>
          <w:b/>
          <w:bCs/>
          <w:sz w:val="21"/>
          <w:szCs w:val="21"/>
        </w:rPr>
        <w:t xml:space="preserve">soporte@efficaxba.com</w:t>
      </w:r>
      <w:r>
        <w:rPr>
          <w:sz w:val="21"/>
          <w:szCs w:val="21"/>
        </w:rPr>
        <w:t xml:space="preserve">.</w:t>
      </w:r>
    </w:p>
    <w:p>
      <w:pPr>
        <w:spacing w:after="140" w:line="300"/>
      </w:pPr>
      <w:r>
        <w:rPr>
          <w:b/>
          <w:bCs/>
          <w:sz w:val="21"/>
          <w:szCs w:val="21"/>
        </w:rPr>
        <w:t xml:space="preserve">3.2. </w:t>
      </w:r>
      <w:r>
        <w:rPr>
          <w:sz w:val="21"/>
          <w:szCs w:val="21"/>
        </w:rPr>
        <w:t xml:space="preserve">EFFICAX responderá dicha solicitud dentro de un plazo máximo de </w:t>
      </w:r>
      <w:r>
        <w:rPr>
          <w:b/>
          <w:bCs/>
          <w:sz w:val="21"/>
          <w:szCs w:val="21"/>
        </w:rPr>
        <w:t xml:space="preserve">dos (2) días hábiles</w:t>
      </w:r>
      <w:r>
        <w:rPr>
          <w:sz w:val="21"/>
          <w:szCs w:val="21"/>
        </w:rPr>
        <w:t xml:space="preserve"> contados desde su recepción, salvo caso fortuito o fuerza mayor. La atención humana </w:t>
      </w:r>
      <w:r>
        <w:rPr>
          <w:b/>
          <w:bCs/>
          <w:sz w:val="21"/>
          <w:szCs w:val="21"/>
        </w:rPr>
        <w:t xml:space="preserve">no se presta en tiempo real ni por canales de chat en vivo</w:t>
      </w:r>
      <w:r>
        <w:rPr>
          <w:sz w:val="21"/>
          <w:szCs w:val="21"/>
        </w:rPr>
        <w:t xml:space="preserve">, y el CLIENTE acepta esta modalidad como condición del Servicio.</w:t>
      </w:r>
    </w:p>
    <w:p>
      <w:pPr>
        <w:pStyle w:val="Heading1"/>
        <w:pBdr>
          <w:bottom w:val="single" w:color="FF6A00" w:sz="6"/>
        </w:pBdr>
        <w:spacing w:after="200" w:before="400"/>
      </w:pPr>
      <w:r>
        <w:rPr>
          <w:b/>
          <w:bCs/>
          <w:color w:val="FF6A00"/>
          <w:sz w:val="28"/>
          <w:szCs w:val="28"/>
        </w:rPr>
        <w:t xml:space="preserve">4. Propiedad intelectual</w:t>
      </w:r>
    </w:p>
    <w:p>
      <w:pPr>
        <w:spacing w:after="140" w:line="300"/>
      </w:pPr>
      <w:r>
        <w:rPr>
          <w:b/>
          <w:bCs/>
          <w:sz w:val="21"/>
          <w:szCs w:val="21"/>
        </w:rPr>
        <w:t xml:space="preserve">4.1. </w:t>
      </w:r>
      <w:r>
        <w:rPr>
          <w:sz w:val="21"/>
          <w:szCs w:val="21"/>
        </w:rPr>
        <w:t xml:space="preserve">EFFICAX es y seguirá siendo titular exclusiva de todos los derechos de propiedad intelectual sobre Booster, Mentor, los agentes de inteligencia artificial, su código, metodología, configuraciones, flujos de automatización y cualquier mejora derivada de su uso, incluyendo las realizadas a partir de la retroalimentación del CLIENTE.</w:t>
      </w:r>
    </w:p>
    <w:p>
      <w:pPr>
        <w:spacing w:after="140" w:line="300"/>
      </w:pPr>
      <w:r>
        <w:rPr>
          <w:b/>
          <w:bCs/>
          <w:sz w:val="21"/>
          <w:szCs w:val="21"/>
        </w:rPr>
        <w:t xml:space="preserve">4.2. </w:t>
      </w:r>
      <w:r>
        <w:rPr>
          <w:sz w:val="21"/>
          <w:szCs w:val="21"/>
        </w:rPr>
        <w:t xml:space="preserve">El CLIENTE conserva en todo momento la titularidad de sus propios datos, documentos y contenido cargados en la plataforma (los </w:t>
      </w:r>
      <w:r>
        <w:rPr>
          <w:b/>
          <w:bCs/>
          <w:sz w:val="21"/>
          <w:szCs w:val="21"/>
        </w:rPr>
        <w:t xml:space="preserve">"Datos del Cliente"</w:t>
      </w:r>
      <w:r>
        <w:rPr>
          <w:sz w:val="21"/>
          <w:szCs w:val="21"/>
        </w:rPr>
        <w:t xml:space="preserve">). EFFICAX accede a los Datos del Cliente y los toma únicamente como fuente para prestar el servicio solicitado, sin que ello implique, en ningún momento ni bajo ninguna circunstancia, adquisición de propiedad, cesión de derechos, ni facultad de uso para fines distintos a la prestación del Servicio.</w:t>
      </w:r>
    </w:p>
    <w:p>
      <w:pPr>
        <w:pStyle w:val="Heading1"/>
        <w:pBdr>
          <w:bottom w:val="single" w:color="FF6A00" w:sz="6"/>
        </w:pBdr>
        <w:spacing w:after="200" w:before="400"/>
      </w:pPr>
      <w:r>
        <w:rPr>
          <w:b/>
          <w:bCs/>
          <w:color w:val="FF6A00"/>
          <w:sz w:val="28"/>
          <w:szCs w:val="28"/>
        </w:rPr>
        <w:t xml:space="preserve">5. Datos personales y privacidad</w:t>
      </w:r>
    </w:p>
    <w:p>
      <w:pPr>
        <w:spacing w:after="140" w:line="300"/>
      </w:pPr>
      <w:r>
        <w:rPr>
          <w:b/>
          <w:bCs/>
          <w:sz w:val="21"/>
          <w:szCs w:val="21"/>
        </w:rPr>
        <w:t xml:space="preserve">5.1. </w:t>
      </w:r>
      <w:r>
        <w:rPr>
          <w:sz w:val="21"/>
          <w:szCs w:val="21"/>
        </w:rPr>
        <w:t xml:space="preserve">El tratamiento de datos personales por parte de EFFICAX se rige por su Política de Privacidad vigente (disponible en </w:t>
      </w:r>
      <w:r>
        <w:rPr>
          <w:b/>
          <w:bCs/>
          <w:color w:val="B42318"/>
          <w:sz w:val="21"/>
          <w:szCs w:val="21"/>
          <w:highlight w:val="yellow"/>
          <w:highlightCs w:val="yellow"/>
        </w:rPr>
        <w:t xml:space="preserve">[URL de la Política de Privacidad -- pendiente de publicar]</w:t>
      </w:r>
      <w:r>
        <w:rPr>
          <w:sz w:val="21"/>
          <w:szCs w:val="21"/>
        </w:rPr>
        <w:t xml:space="preserve">), la cual forma parte integrante de este Contrato por referencia, y por la Ley N.° 29733, Ley de Protección de Datos Personales, y su reglamento.</w:t>
      </w:r>
    </w:p>
    <w:p>
      <w:pPr>
        <w:spacing w:after="140" w:line="300"/>
      </w:pPr>
      <w:r>
        <w:rPr>
          <w:b/>
          <w:bCs/>
          <w:sz w:val="21"/>
          <w:szCs w:val="21"/>
        </w:rPr>
        <w:t xml:space="preserve">5.2. </w:t>
      </w:r>
      <w:r>
        <w:rPr>
          <w:sz w:val="21"/>
          <w:szCs w:val="21"/>
        </w:rPr>
        <w:t xml:space="preserve">El CLIENTE es dueño de la información y autoriza expresamente el tratamiento y la comunicación de determinados datos a plataformas y servicios de terceros, incluyendo Meta y otras redes sociales, únicamente cuando ello resulte estrictamente necesario para ejecutar las automatizaciones expresamente habilitadas por el CLIENTE. Dichos datos serán utilizados exclusivamente para las finalidades informadas y bajo las condiciones establecidas en la Política de Privacidad.</w:t>
      </w:r>
    </w:p>
    <w:p>
      <w:pPr>
        <w:pStyle w:val="Heading1"/>
        <w:pBdr>
          <w:bottom w:val="single" w:color="FF6A00" w:sz="6"/>
        </w:pBdr>
        <w:spacing w:after="200" w:before="400"/>
      </w:pPr>
      <w:r>
        <w:rPr>
          <w:b/>
          <w:bCs/>
          <w:color w:val="FF6A00"/>
          <w:sz w:val="28"/>
          <w:szCs w:val="28"/>
        </w:rPr>
        <w:t xml:space="preserve">6. Responsabilidad por contenido del usuario</w:t>
      </w:r>
    </w:p>
    <w:p>
      <w:pPr>
        <w:spacing w:after="140" w:line="300"/>
      </w:pPr>
      <w:r>
        <w:rPr>
          <w:b/>
          <w:bCs/>
          <w:sz w:val="21"/>
          <w:szCs w:val="21"/>
        </w:rPr>
        <w:t xml:space="preserve">6.1. </w:t>
      </w:r>
      <w:r>
        <w:rPr>
          <w:sz w:val="21"/>
          <w:szCs w:val="21"/>
        </w:rPr>
        <w:t xml:space="preserve">El CLIENTE declara ser titular de los derechos, o contar con la licencia necesaria, sobre todo contenido (imágenes, texto, video, audio, documentos) que suba, publique o autorice publicar a través del Servicio, incluyendo publicaciones automatizadas hacia redes sociales de terceros.</w:t>
      </w:r>
    </w:p>
    <w:p>
      <w:pPr>
        <w:spacing w:after="140" w:line="300"/>
      </w:pPr>
      <w:r>
        <w:rPr>
          <w:b/>
          <w:bCs/>
          <w:sz w:val="21"/>
          <w:szCs w:val="21"/>
        </w:rPr>
        <w:t xml:space="preserve">6.2. </w:t>
      </w:r>
      <w:r>
        <w:rPr>
          <w:sz w:val="21"/>
          <w:szCs w:val="21"/>
        </w:rPr>
        <w:t xml:space="preserve">El CLIENTE es el único responsable frente a reclamos de terceros derivados de dicho contenido, y mantendrá indemne a EFFICAX frente a cualquier reclamo, sanción o gasto razonable derivado del incumplimiento de esta declaración.</w:t>
      </w:r>
    </w:p>
    <w:p>
      <w:pPr>
        <w:spacing w:after="140" w:line="300"/>
      </w:pPr>
      <w:r>
        <w:rPr>
          <w:b/>
          <w:bCs/>
          <w:sz w:val="21"/>
          <w:szCs w:val="21"/>
        </w:rPr>
        <w:t xml:space="preserve">6.3. </w:t>
      </w:r>
      <w:r>
        <w:rPr>
          <w:sz w:val="21"/>
          <w:szCs w:val="21"/>
        </w:rPr>
        <w:t xml:space="preserve">Ante un reporte de contenido presuntamente infractor de derechos de terceros, EFFICAX podrá retirar o suspender la publicación del contenido reportado sin necesidad de previo aviso. El retiro podrá ejecutarse por medios manuales o automatizados del propio Servicio, y EFFICAX notificará al CLIENTE tan pronto como sea razonablemente posible, indicando el contenido retirado y el motivo del reporte.</w:t>
      </w:r>
    </w:p>
    <w:p>
      <w:pPr>
        <w:pStyle w:val="Heading1"/>
        <w:pBdr>
          <w:bottom w:val="single" w:color="FF6A00" w:sz="6"/>
        </w:pBdr>
        <w:spacing w:after="200" w:before="400"/>
      </w:pPr>
      <w:r>
        <w:rPr>
          <w:b/>
          <w:bCs/>
          <w:color w:val="FF6A00"/>
          <w:sz w:val="28"/>
          <w:szCs w:val="28"/>
        </w:rPr>
        <w:t xml:space="preserve">7. Margen de error de la IA y limitación de responsabilidad</w:t>
      </w:r>
    </w:p>
    <w:p>
      <w:pPr>
        <w:spacing w:after="140" w:line="300"/>
      </w:pPr>
      <w:r>
        <w:rPr>
          <w:b/>
          <w:bCs/>
          <w:sz w:val="21"/>
          <w:szCs w:val="21"/>
        </w:rPr>
        <w:t xml:space="preserve">7.1. </w:t>
      </w:r>
      <w:r>
        <w:rPr>
          <w:sz w:val="21"/>
          <w:szCs w:val="21"/>
        </w:rPr>
        <w:t xml:space="preserve">El CLIENTE reconoce que la tecnología de inteligencia artificial tiene, por su propia naturaleza, un </w:t>
      </w:r>
      <w:r>
        <w:rPr>
          <w:b/>
          <w:bCs/>
          <w:sz w:val="21"/>
          <w:szCs w:val="21"/>
        </w:rPr>
        <w:t xml:space="preserve">margen de error inherente que no puede eliminarse por completo</w:t>
      </w:r>
      <w:r>
        <w:rPr>
          <w:sz w:val="21"/>
          <w:szCs w:val="21"/>
        </w:rPr>
        <w:t xml:space="preserve">, y que los modelos de inteligencia artificial que sustentan el Servicio operan sobre la plataforma Odoo y los proveedores de modelos que ésta integra -- tecnología de terceros que EFFICAX explota bajo licencia, pero que no desarrolla ni controla.</w:t>
      </w:r>
    </w:p>
    <w:p>
      <w:pPr>
        <w:spacing w:after="140" w:line="300"/>
      </w:pPr>
      <w:r>
        <w:rPr>
          <w:b/>
          <w:bCs/>
          <w:sz w:val="21"/>
          <w:szCs w:val="21"/>
        </w:rPr>
        <w:t xml:space="preserve">7.2. </w:t>
      </w:r>
      <w:r>
        <w:rPr>
          <w:sz w:val="21"/>
          <w:szCs w:val="21"/>
        </w:rPr>
        <w:t xml:space="preserve">En consecuencia, la responsabilidad de EFFICAX se delimita así:</w:t>
      </w:r>
    </w:p>
    <w:p>
      <w:pPr>
        <w:spacing w:after="120" w:line="300"/>
        <w:ind w:left="460"/>
      </w:pPr>
      <w:r>
        <w:rPr>
          <w:b/>
          <w:bCs/>
          <w:sz w:val="21"/>
          <w:szCs w:val="21"/>
        </w:rPr>
        <w:t xml:space="preserve">(a) </w:t>
      </w:r>
      <w:r>
        <w:rPr>
          <w:sz w:val="21"/>
          <w:szCs w:val="21"/>
        </w:rPr>
        <w:t xml:space="preserve">EFFICAX responde por la </w:t>
      </w:r>
      <w:r>
        <w:rPr>
          <w:b/>
          <w:bCs/>
          <w:sz w:val="21"/>
          <w:szCs w:val="21"/>
        </w:rPr>
        <w:t xml:space="preserve">implementación, configuración y operación diligente</w:t>
      </w:r>
      <w:r>
        <w:rPr>
          <w:sz w:val="21"/>
          <w:szCs w:val="21"/>
        </w:rPr>
        <w:t xml:space="preserve"> del Servicio sobre dicha plataforma;</w:t>
      </w:r>
    </w:p>
    <w:p>
      <w:pPr>
        <w:spacing w:after="120" w:line="300"/>
        <w:ind w:left="460"/>
      </w:pPr>
      <w:r>
        <w:rPr>
          <w:b/>
          <w:bCs/>
          <w:sz w:val="21"/>
          <w:szCs w:val="21"/>
        </w:rPr>
        <w:t xml:space="preserve">(b) </w:t>
      </w:r>
      <w:r>
        <w:rPr>
          <w:sz w:val="21"/>
          <w:szCs w:val="21"/>
        </w:rPr>
        <w:t xml:space="preserve">EFFICAX </w:t>
      </w:r>
      <w:r>
        <w:rPr>
          <w:b/>
          <w:bCs/>
          <w:sz w:val="21"/>
          <w:szCs w:val="21"/>
        </w:rPr>
        <w:t xml:space="preserve">no asume responsabilidad civil</w:t>
      </w:r>
      <w:r>
        <w:rPr>
          <w:sz w:val="21"/>
          <w:szCs w:val="21"/>
        </w:rPr>
        <w:t xml:space="preserve"> por los errores inherentes a los modelos de inteligencia artificial de terceros descritos en la cláusula 7.1, ni por las decisiones de negocio que el CLIENTE adopte con base exclusiva en respuestas del Servicio sin la validación prevista en la cláusula 2.3;</w:t>
      </w:r>
    </w:p>
    <w:p>
      <w:pPr>
        <w:spacing w:after="120" w:line="300"/>
        <w:ind w:left="460"/>
      </w:pPr>
      <w:r>
        <w:rPr>
          <w:b/>
          <w:bCs/>
          <w:sz w:val="21"/>
          <w:szCs w:val="21"/>
        </w:rPr>
        <w:t xml:space="preserve">(c) </w:t>
      </w:r>
      <w:r>
        <w:rPr>
          <w:sz w:val="21"/>
          <w:szCs w:val="21"/>
        </w:rPr>
        <w:t xml:space="preserve">lo anterior no limita la responsabilidad de EFFICAX en los supuestos en que la ley peruana no admite pacto en contrario (dolo o culpa inexcusable, artículo 1328 del Código Civil).</w:t>
      </w:r>
    </w:p>
    <w:p>
      <w:pPr>
        <w:spacing w:after="140" w:line="300"/>
      </w:pPr>
      <w:r>
        <w:rPr>
          <w:b/>
          <w:bCs/>
          <w:sz w:val="21"/>
          <w:szCs w:val="21"/>
        </w:rPr>
        <w:t xml:space="preserve">7.3. </w:t>
      </w:r>
      <w:r>
        <w:rPr>
          <w:b/>
          <w:bCs/>
          <w:sz w:val="21"/>
          <w:szCs w:val="21"/>
        </w:rPr>
        <w:t xml:space="preserve">Tope económico de responsabilidad: </w:t>
      </w:r>
      <w:r>
        <w:rPr>
          <w:sz w:val="21"/>
          <w:szCs w:val="21"/>
        </w:rPr>
        <w:t xml:space="preserve">la responsabilidad total acumulada de EFFICAX frente al CLIENTE por todos los reclamos derivados de este Contrato, cualquiera sea su causa, no excederá el </w:t>
      </w:r>
      <w:r>
        <w:rPr>
          <w:b/>
          <w:bCs/>
          <w:sz w:val="21"/>
          <w:szCs w:val="21"/>
        </w:rPr>
        <w:t xml:space="preserve">monto total efectivamente pagado por el CLIENTE a EFFICAX durante los tres (3) meses inmediatamente anteriores al hecho que originó el reclamo</w:t>
      </w:r>
      <w:r>
        <w:rPr>
          <w:sz w:val="21"/>
          <w:szCs w:val="21"/>
        </w:rPr>
        <w:t xml:space="preserve">. Ejemplo ilustrativo: si el CLIENTE paga una mensualidad de S/ 500, el máximo total que EFFICAX podría estar obligada a indemnizar es S/ 1,500, cualquiera sea el número o naturaleza de los reclamos.</w:t>
      </w:r>
    </w:p>
    <w:p>
      <w:pPr>
        <w:spacing w:after="140" w:line="300"/>
      </w:pPr>
      <w:r>
        <w:rPr>
          <w:b/>
          <w:bCs/>
          <w:sz w:val="21"/>
          <w:szCs w:val="21"/>
        </w:rPr>
        <w:t xml:space="preserve">7.4. </w:t>
      </w:r>
      <w:r>
        <w:rPr>
          <w:b/>
          <w:bCs/>
          <w:sz w:val="21"/>
          <w:szCs w:val="21"/>
        </w:rPr>
        <w:t xml:space="preserve">Exclusión de daños indirectos: </w:t>
      </w:r>
      <w:r>
        <w:rPr>
          <w:sz w:val="21"/>
          <w:szCs w:val="21"/>
        </w:rPr>
        <w:t xml:space="preserve">ninguna de las partes será responsable frente a la otra por daños indirectos o consecuenciales, entendiéndose por tales, de manera enunciativa y no limitativa: la pérdida de ventas u oportunidades de negocio, la pérdida de clientela, la interrupción de la actividad comercial, el daño reputacional y la pérdida de información atribuible a hechos de terceros. Esta exclusión no aplica: (i) en los supuestos de dolo o culpa inexcusable; (ii) al incumplimiento de la obligación de confidencialidad (cláusula 9); ni (iii) a la obligación de indemnidad del CLIENTE por contenido de terceros (cláusula 6.2).</w:t>
      </w:r>
    </w:p>
    <w:p>
      <w:pPr>
        <w:pStyle w:val="Heading1"/>
        <w:pBdr>
          <w:bottom w:val="single" w:color="FF6A00" w:sz="6"/>
        </w:pBdr>
        <w:spacing w:after="200" w:before="400"/>
      </w:pPr>
      <w:r>
        <w:rPr>
          <w:b/>
          <w:bCs/>
          <w:color w:val="FF6A00"/>
          <w:sz w:val="28"/>
          <w:szCs w:val="28"/>
        </w:rPr>
        <w:t xml:space="preserve">8. Vigencia, pago y terminación</w:t>
      </w:r>
    </w:p>
    <w:p>
      <w:pPr>
        <w:spacing w:after="140" w:line="300"/>
      </w:pPr>
      <w:r>
        <w:rPr>
          <w:b/>
          <w:bCs/>
          <w:sz w:val="21"/>
          <w:szCs w:val="21"/>
        </w:rPr>
        <w:t xml:space="preserve">8.1. </w:t>
      </w:r>
      <w:r>
        <w:rPr>
          <w:b/>
          <w:bCs/>
          <w:sz w:val="21"/>
          <w:szCs w:val="21"/>
        </w:rPr>
        <w:t xml:space="preserve">Vigencia abierta ligada al pago: </w:t>
      </w:r>
      <w:r>
        <w:rPr>
          <w:sz w:val="21"/>
          <w:szCs w:val="21"/>
        </w:rPr>
        <w:t xml:space="preserve">el presente Contrato entra en vigencia en la fecha de su suscripción y tiene </w:t>
      </w:r>
      <w:r>
        <w:rPr>
          <w:b/>
          <w:bCs/>
          <w:sz w:val="21"/>
          <w:szCs w:val="21"/>
        </w:rPr>
        <w:t xml:space="preserve">duración indefinida</w:t>
      </w:r>
      <w:r>
        <w:rPr>
          <w:sz w:val="21"/>
          <w:szCs w:val="21"/>
        </w:rPr>
        <w:t xml:space="preserve">: se mantiene vigente mientras el CLIENTE se encuentre al día en el pago de la contraprestación mensual. Cada pago mensual renueva automáticamente el Servicio por ese período, sin necesidad de suscripción adicional ni renovación expresa.</w:t>
      </w:r>
    </w:p>
    <w:p>
      <w:pPr>
        <w:spacing w:after="140" w:line="300"/>
      </w:pPr>
      <w:r>
        <w:rPr>
          <w:b/>
          <w:bCs/>
          <w:sz w:val="21"/>
          <w:szCs w:val="21"/>
        </w:rPr>
        <w:t xml:space="preserve">8.2. </w:t>
      </w:r>
      <w:r>
        <w:rPr>
          <w:b/>
          <w:bCs/>
          <w:sz w:val="21"/>
          <w:szCs w:val="21"/>
        </w:rPr>
        <w:t xml:space="preserve">Suspensión por falta de pago: </w:t>
      </w:r>
      <w:r>
        <w:rPr>
          <w:sz w:val="21"/>
          <w:szCs w:val="21"/>
        </w:rPr>
        <w:t xml:space="preserve">vencido un período mensual sin pago, EFFICAX podrá suspender automáticamente el acceso al Servicio transcurridas </w:t>
      </w:r>
      <w:r>
        <w:rPr>
          <w:b/>
          <w:bCs/>
          <w:sz w:val="21"/>
          <w:szCs w:val="21"/>
        </w:rPr>
        <w:t xml:space="preserve">cuarenta y ocho (48) horas</w:t>
      </w:r>
      <w:r>
        <w:rPr>
          <w:sz w:val="21"/>
          <w:szCs w:val="21"/>
        </w:rPr>
        <w:t xml:space="preserve"> desde el vencimiento impago. Si la mora persiste por más de </w:t>
      </w:r>
      <w:r>
        <w:rPr>
          <w:b/>
          <w:bCs/>
          <w:sz w:val="21"/>
          <w:szCs w:val="21"/>
        </w:rPr>
        <w:t xml:space="preserve">treinta (30) días calendario</w:t>
      </w:r>
      <w:r>
        <w:rPr>
          <w:sz w:val="21"/>
          <w:szCs w:val="21"/>
        </w:rPr>
        <w:t xml:space="preserve">, EFFICAX podrá resolver el Contrato de pleno derecho, sin necesidad de declaración judicial, bastando comunicación escrita al CLIENTE.</w:t>
      </w:r>
    </w:p>
    <w:p>
      <w:pPr>
        <w:spacing w:after="140" w:line="300"/>
      </w:pPr>
      <w:r>
        <w:rPr>
          <w:b/>
          <w:bCs/>
          <w:sz w:val="21"/>
          <w:szCs w:val="21"/>
        </w:rPr>
        <w:t xml:space="preserve">8.3. </w:t>
      </w:r>
      <w:r>
        <w:rPr>
          <w:b/>
          <w:bCs/>
          <w:sz w:val="21"/>
          <w:szCs w:val="21"/>
        </w:rPr>
        <w:t xml:space="preserve">Resolución por incumplimiento: </w:t>
      </w:r>
      <w:r>
        <w:rPr>
          <w:sz w:val="21"/>
          <w:szCs w:val="21"/>
        </w:rPr>
        <w:t xml:space="preserve">cualquiera de las partes podrá resolver el Contrato por incumplimiento distinto al de pago, previa comunicación escrita que detalle el incumplimiento y un plazo de subsanación de </w:t>
      </w:r>
      <w:r>
        <w:rPr>
          <w:b/>
          <w:bCs/>
          <w:sz w:val="21"/>
          <w:szCs w:val="21"/>
        </w:rPr>
        <w:t xml:space="preserve">quince (15) días calendario</w:t>
      </w:r>
      <w:r>
        <w:rPr>
          <w:sz w:val="21"/>
          <w:szCs w:val="21"/>
        </w:rPr>
        <w:t xml:space="preserve"> sin que éste se corrija.</w:t>
      </w:r>
    </w:p>
    <w:p>
      <w:pPr>
        <w:spacing w:after="140" w:line="300"/>
      </w:pPr>
      <w:r>
        <w:rPr>
          <w:b/>
          <w:bCs/>
          <w:sz w:val="21"/>
          <w:szCs w:val="21"/>
        </w:rPr>
        <w:t xml:space="preserve">8.4. </w:t>
      </w:r>
      <w:r>
        <w:rPr>
          <w:b/>
          <w:bCs/>
          <w:sz w:val="21"/>
          <w:szCs w:val="21"/>
        </w:rPr>
        <w:t xml:space="preserve">Efectos de la terminación: </w:t>
      </w:r>
      <w:r>
        <w:rPr>
          <w:sz w:val="21"/>
          <w:szCs w:val="21"/>
        </w:rPr>
        <w:t xml:space="preserve">a la terminación del Contrato, cualquiera sea su causa:</w:t>
      </w:r>
    </w:p>
    <w:p>
      <w:pPr>
        <w:spacing w:after="120" w:line="300"/>
        <w:ind w:left="460"/>
      </w:pPr>
      <w:r>
        <w:rPr>
          <w:b/>
          <w:bCs/>
          <w:sz w:val="21"/>
          <w:szCs w:val="21"/>
        </w:rPr>
        <w:t xml:space="preserve">(a) </w:t>
      </w:r>
      <w:r>
        <w:rPr>
          <w:sz w:val="21"/>
          <w:szCs w:val="21"/>
        </w:rPr>
        <w:t xml:space="preserve">el CLIENTE podrá solicitar, dentro de los </w:t>
      </w:r>
      <w:r>
        <w:rPr>
          <w:b/>
          <w:bCs/>
          <w:sz w:val="21"/>
          <w:szCs w:val="21"/>
        </w:rPr>
        <w:t xml:space="preserve">treinta (30) días calendario</w:t>
      </w:r>
      <w:r>
        <w:rPr>
          <w:sz w:val="21"/>
          <w:szCs w:val="21"/>
        </w:rPr>
        <w:t xml:space="preserve"> siguientes, la exportación de sus Datos del Cliente en un formato estándar legible;</w:t>
      </w:r>
    </w:p>
    <w:p>
      <w:pPr>
        <w:spacing w:after="120" w:line="300"/>
        <w:ind w:left="460"/>
      </w:pPr>
      <w:r>
        <w:rPr>
          <w:b/>
          <w:bCs/>
          <w:sz w:val="21"/>
          <w:szCs w:val="21"/>
        </w:rPr>
        <w:t xml:space="preserve">(b) </w:t>
      </w:r>
      <w:r>
        <w:rPr>
          <w:b/>
          <w:bCs/>
          <w:sz w:val="21"/>
          <w:szCs w:val="21"/>
        </w:rPr>
        <w:t xml:space="preserve">en ningún caso</w:t>
      </w:r>
      <w:r>
        <w:rPr>
          <w:sz w:val="21"/>
          <w:szCs w:val="21"/>
        </w:rPr>
        <w:t xml:space="preserve"> la exportación comprende las funcionalidades, automatizaciones, agentes, configuraciones o flujos de trabajo construidos o generados por Booster, los cuales constituyen propiedad intelectual de EFFICAX (cláusula 4.1), dejan de estar disponibles con la terminación del Contrato y no son transferibles a otras plataformas ni a otros proveedores;</w:t>
      </w:r>
    </w:p>
    <w:p>
      <w:pPr>
        <w:spacing w:after="120" w:line="300"/>
        <w:ind w:left="460"/>
      </w:pPr>
      <w:r>
        <w:rPr>
          <w:b/>
          <w:bCs/>
          <w:sz w:val="21"/>
          <w:szCs w:val="21"/>
        </w:rPr>
        <w:t xml:space="preserve">(c) </w:t>
      </w:r>
      <w:r>
        <w:rPr>
          <w:sz w:val="21"/>
          <w:szCs w:val="21"/>
        </w:rPr>
        <w:t xml:space="preserve">vencido el plazo del literal (a), EFFICAX podrá eliminar los Datos del Cliente conforme a su Política de Privacidad.</w:t>
      </w:r>
    </w:p>
    <w:p>
      <w:pPr>
        <w:pStyle w:val="Heading1"/>
        <w:pBdr>
          <w:bottom w:val="single" w:color="FF6A00" w:sz="6"/>
        </w:pBdr>
        <w:spacing w:after="200" w:before="400"/>
      </w:pPr>
      <w:r>
        <w:rPr>
          <w:b/>
          <w:bCs/>
          <w:color w:val="FF6A00"/>
          <w:sz w:val="28"/>
          <w:szCs w:val="28"/>
        </w:rPr>
        <w:t xml:space="preserve">9. Confidencialidad</w:t>
      </w:r>
    </w:p>
    <w:p>
      <w:pPr>
        <w:spacing w:after="140" w:line="300"/>
      </w:pPr>
      <w:r>
        <w:rPr>
          <w:b/>
          <w:bCs/>
          <w:sz w:val="21"/>
          <w:szCs w:val="21"/>
        </w:rPr>
        <w:t xml:space="preserve">9.1. </w:t>
      </w:r>
      <w:r>
        <w:rPr>
          <w:sz w:val="21"/>
          <w:szCs w:val="21"/>
        </w:rPr>
        <w:t xml:space="preserve">Ambas partes se obligan a mantener confidencial la información no pública de la otra parte a la que tengan acceso con ocasión del Contrato, y a no utilizarla para fines distintos a su ejecución.</w:t>
      </w:r>
    </w:p>
    <w:p>
      <w:pPr>
        <w:pStyle w:val="Heading1"/>
        <w:pBdr>
          <w:bottom w:val="single" w:color="FF6A00" w:sz="6"/>
        </w:pBdr>
        <w:spacing w:after="200" w:before="400"/>
      </w:pPr>
      <w:r>
        <w:rPr>
          <w:b/>
          <w:bCs/>
          <w:color w:val="FF6A00"/>
          <w:sz w:val="28"/>
          <w:szCs w:val="28"/>
        </w:rPr>
        <w:t xml:space="preserve">10. Resolución de disputas y ley aplicable — Perú</w:t>
      </w:r>
    </w:p>
    <w:p>
      <w:pPr>
        <w:spacing w:after="140" w:line="300"/>
      </w:pPr>
      <w:r>
        <w:rPr>
          <w:b/>
          <w:bCs/>
          <w:sz w:val="21"/>
          <w:szCs w:val="21"/>
        </w:rPr>
        <w:t xml:space="preserve">10.1. </w:t>
      </w:r>
      <w:r>
        <w:rPr>
          <w:sz w:val="21"/>
          <w:szCs w:val="21"/>
        </w:rPr>
        <w:t xml:space="preserve">Este Contrato se rige por las leyes de la República del Perú.</w:t>
      </w:r>
    </w:p>
    <w:p>
      <w:pPr>
        <w:spacing w:after="140" w:line="300"/>
      </w:pPr>
      <w:r>
        <w:rPr>
          <w:b/>
          <w:bCs/>
          <w:sz w:val="21"/>
          <w:szCs w:val="21"/>
        </w:rPr>
        <w:t xml:space="preserve">10.2. </w:t>
      </w:r>
      <w:r>
        <w:rPr>
          <w:sz w:val="21"/>
          <w:szCs w:val="21"/>
        </w:rPr>
        <w:t xml:space="preserve">Toda controversia derivada del presente Contrato, incluyendo su existencia, validez o terminación, se resolverá mediante arbitraje de derecho administrado por el </w:t>
      </w:r>
      <w:r>
        <w:rPr>
          <w:b/>
          <w:bCs/>
          <w:sz w:val="21"/>
          <w:szCs w:val="21"/>
        </w:rPr>
        <w:t xml:space="preserve">Centro de Arbitraje de la Cámara de Comercio de Lima</w:t>
      </w:r>
      <w:r>
        <w:rPr>
          <w:sz w:val="21"/>
          <w:szCs w:val="21"/>
        </w:rPr>
        <w:t xml:space="preserve">, conforme a su reglamento vigente. El arbitraje será en idioma español, con sede en Lima, Perú, y a cargo de un árbitro único.</w:t>
      </w:r>
    </w:p>
    <w:p>
      <w:pPr>
        <w:spacing w:after="140" w:line="300"/>
      </w:pPr>
      <w:r>
        <w:rPr>
          <w:b/>
          <w:bCs/>
          <w:sz w:val="21"/>
          <w:szCs w:val="21"/>
        </w:rPr>
        <w:t xml:space="preserve">10.3. </w:t>
      </w:r>
      <w:r>
        <w:rPr>
          <w:sz w:val="21"/>
          <w:szCs w:val="21"/>
        </w:rPr>
        <w:t xml:space="preserve">Las partes renuncian expresamente a iniciar o participar en acciones colectivas o consolidadas relacionadas con este Contrato.</w:t>
      </w:r>
    </w:p>
    <w:p>
      <w:pPr>
        <w:pStyle w:val="Heading1"/>
        <w:pBdr>
          <w:bottom w:val="single" w:color="FF6A00" w:sz="6"/>
        </w:pBdr>
        <w:spacing w:after="200" w:before="400"/>
      </w:pPr>
      <w:r>
        <w:rPr>
          <w:b/>
          <w:bCs/>
          <w:color w:val="FF6A00"/>
          <w:sz w:val="28"/>
          <w:szCs w:val="28"/>
        </w:rPr>
        <w:t xml:space="preserve">11. Disposiciones generales</w:t>
      </w:r>
    </w:p>
    <w:p>
      <w:pPr>
        <w:spacing w:after="140" w:line="300"/>
      </w:pPr>
      <w:r>
        <w:rPr>
          <w:b/>
          <w:bCs/>
          <w:sz w:val="21"/>
          <w:szCs w:val="21"/>
        </w:rPr>
        <w:t xml:space="preserve">11.1. </w:t>
      </w:r>
      <w:r>
        <w:rPr>
          <w:sz w:val="21"/>
          <w:szCs w:val="21"/>
        </w:rPr>
        <w:t xml:space="preserve">Notificaciones: toda comunicación bajo este Contrato se dirigirá a los domicilios o correos electrónicos señalados en la comparecencia, o a los que las partes comuniquen por escrito posteriormente.</w:t>
      </w:r>
    </w:p>
    <w:p>
      <w:pPr>
        <w:spacing w:after="140" w:line="300"/>
      </w:pPr>
      <w:r>
        <w:rPr>
          <w:b/>
          <w:bCs/>
          <w:sz w:val="21"/>
          <w:szCs w:val="21"/>
        </w:rPr>
        <w:t xml:space="preserve">11.2. </w:t>
      </w:r>
      <w:r>
        <w:rPr>
          <w:sz w:val="21"/>
          <w:szCs w:val="21"/>
        </w:rPr>
        <w:t xml:space="preserve">Cesión: ninguna parte podrá ceder este Contrato sin el consentimiento previo y escrito de la otra, salvo cesión a una afiliada o en el marco de una reorganización societaria.</w:t>
      </w:r>
    </w:p>
    <w:p>
      <w:pPr>
        <w:spacing w:after="140" w:line="300"/>
      </w:pPr>
      <w:r>
        <w:rPr>
          <w:b/>
          <w:bCs/>
          <w:sz w:val="21"/>
          <w:szCs w:val="21"/>
        </w:rPr>
        <w:t xml:space="preserve">11.3. </w:t>
      </w:r>
      <w:r>
        <w:rPr>
          <w:sz w:val="21"/>
          <w:szCs w:val="21"/>
        </w:rPr>
        <w:t xml:space="preserve">Integridad del acuerdo: este Contrato, junto con sus Anexos y la Política de Privacidad incorporada por referencia, constituye el acuerdo íntegro entre las partes respecto de su objeto.</w:t>
      </w:r>
    </w:p>
    <w:p>
      <w:pPr>
        <w:spacing w:after="140" w:line="300"/>
      </w:pPr>
      <w:r>
        <w:rPr>
          <w:b/>
          <w:bCs/>
          <w:sz w:val="21"/>
          <w:szCs w:val="21"/>
        </w:rPr>
        <w:t xml:space="preserve">11.4. </w:t>
      </w:r>
      <w:r>
        <w:rPr>
          <w:sz w:val="21"/>
          <w:szCs w:val="21"/>
        </w:rPr>
        <w:t xml:space="preserve">Modificaciones: cualquier modificación a este Contrato debe constar por escrito y ser suscrita por ambas partes, salvo las actualizaciones a la Política de Privacidad, que EFFICAX podrá modificar notificando al CLIENTE con </w:t>
      </w:r>
      <w:r>
        <w:rPr>
          <w:b/>
          <w:bCs/>
          <w:sz w:val="21"/>
          <w:szCs w:val="21"/>
        </w:rPr>
        <w:t xml:space="preserve">quince (15) días calendario</w:t>
      </w:r>
      <w:r>
        <w:rPr>
          <w:sz w:val="21"/>
          <w:szCs w:val="21"/>
        </w:rPr>
        <w:t xml:space="preserve"> de anticipación.</w:t>
      </w:r>
    </w:p>
    <w:p>
      <w:pPr>
        <w:spacing w:after="140" w:line="300"/>
      </w:pPr>
      <w:r>
        <w:rPr>
          <w:b/>
          <w:bCs/>
          <w:sz w:val="21"/>
          <w:szCs w:val="21"/>
        </w:rPr>
        <w:t xml:space="preserve">11.5. </w:t>
      </w:r>
      <w:r>
        <w:rPr>
          <w:sz w:val="21"/>
          <w:szCs w:val="21"/>
        </w:rPr>
        <w:t xml:space="preserve">Divisibilidad: si alguna cláusula de este Contrato fuera declarada inválida, las demás mantendrán su plena vigencia.</w:t>
      </w:r>
    </w:p>
    <w:p>
      <w:pPr>
        <w:spacing w:after="100" w:before="300"/>
      </w:pPr>
      <w:r>
        <w:rPr>
          <w:b/>
          <w:bCs/>
          <w:sz w:val="21"/>
          <w:szCs w:val="21"/>
        </w:rPr>
        <w:t xml:space="preserve">Suscrito en </w:t>
      </w:r>
      <w:r>
        <w:rPr>
          <w:b/>
          <w:bCs/>
          <w:color w:val="B42318"/>
          <w:sz w:val="21"/>
          <w:szCs w:val="21"/>
          <w:highlight w:val="yellow"/>
          <w:highlightCs w:val="yellow"/>
        </w:rPr>
        <w:t xml:space="preserve">[ciudad]</w:t>
      </w:r>
      <w:r>
        <w:rPr>
          <w:sz w:val="21"/>
          <w:szCs w:val="21"/>
        </w:rPr>
        <w:t xml:space="preserve">, a los </w:t>
      </w:r>
      <w:r>
        <w:rPr>
          <w:b/>
          <w:bCs/>
          <w:color w:val="B42318"/>
          <w:sz w:val="21"/>
          <w:szCs w:val="21"/>
          <w:highlight w:val="yellow"/>
          <w:highlightCs w:val="yellow"/>
        </w:rPr>
        <w:t xml:space="preserve">[fecha]</w:t>
      </w:r>
      <w:r>
        <w:rPr>
          <w:sz w:val="21"/>
          <w:szCs w:val="21"/>
        </w:rPr>
        <w:t xml:space="preserve">.</w:t>
      </w:r>
    </w:p>
    <w:p>
      <w:r>
        <w:br w:type="page"/>
      </w:r>
    </w:p>
    <w:p>
      <w:pPr>
        <w:pStyle w:val="Heading1"/>
        <w:pBdr>
          <w:bottom w:val="single" w:color="FF6A00" w:sz="6"/>
        </w:pBdr>
        <w:spacing w:after="200" w:before="400"/>
      </w:pPr>
      <w:r>
        <w:rPr>
          <w:b/>
          <w:bCs/>
          <w:color w:val="FF6A00"/>
          <w:sz w:val="28"/>
          <w:szCs w:val="28"/>
        </w:rPr>
        <w:t xml:space="preserve">Anexo — Expansión a otros países</w:t>
      </w:r>
    </w:p>
    <w:p>
      <w:pPr>
        <w:spacing w:after="160" w:line="300"/>
      </w:pPr>
      <w:r>
        <w:rPr>
          <w:sz w:val="21"/>
          <w:szCs w:val="21"/>
        </w:rPr>
        <w:t xml:space="preserve">Diseño acordado (18-ago-2026): el grueso de este Contrato NO cambia entre países -- lo único que varía por jurisdicción es la Cláusula 10 (Resolución de disputas y ley aplicable). El resto (objeto, IA, propiedad intelectual, datos, contenido de usuario, responsabilidad, confidencialidad) se mantiene igual salvo que la ley local exija lo contrario.</w:t>
      </w:r>
    </w:p>
    <w:p>
      <w:pPr>
        <w:pStyle w:val="Heading2"/>
        <w:spacing w:after="120" w:before="300"/>
      </w:pPr>
      <w:r>
        <w:rPr>
          <w:b/>
          <w:bCs/>
          <w:color w:val="1C1C1C"/>
          <w:sz w:val="24"/>
          <w:szCs w:val="24"/>
        </w:rPr>
        <w:t xml:space="preserve">Regla para agregar un país nuevo</w:t>
      </w:r>
    </w:p>
    <w:p>
      <w:pPr>
        <w:pStyle w:val="ListParagraph"/>
        <w:numPr>
          <w:ilvl w:val="0"/>
          <w:numId w:val="1"/>
        </w:numPr>
        <w:spacing w:after="100" w:line="300"/>
      </w:pPr>
      <w:r>
        <w:rPr>
          <w:sz w:val="21"/>
          <w:szCs w:val="21"/>
        </w:rPr>
        <w:t xml:space="preserve">Nunca reemplazar la Cláusula 10 sin una versión validada por un abogado local -- mismo criterio que CLAUSULAS_JURISDICCION en servidor_control/app/legal_contratos/generar_contrato_base.py: si no hay cláusula validada para un país, no se sirve un contrato para ese país.</w:t>
      </w:r>
    </w:p>
    <w:p>
      <w:pPr>
        <w:pStyle w:val="ListParagraph"/>
        <w:numPr>
          <w:ilvl w:val="0"/>
          <w:numId w:val="1"/>
        </w:numPr>
        <w:spacing w:after="100" w:line="300"/>
      </w:pPr>
      <w:r>
        <w:rPr>
          <w:sz w:val="21"/>
          <w:szCs w:val="21"/>
        </w:rPr>
        <w:t xml:space="preserve">Revisar la Cláusula 5 (datos personales) contra la ley de protección de datos local -- la Ley 29733 es específica de Perú; otros países tienen su propio marco (ej. LGPD en Brasil, Ley 1581 en Colombia).</w:t>
      </w:r>
    </w:p>
    <w:p>
      <w:pPr>
        <w:pStyle w:val="ListParagraph"/>
        <w:numPr>
          <w:ilvl w:val="0"/>
          <w:numId w:val="1"/>
        </w:numPr>
        <w:spacing w:after="100" w:line="300"/>
      </w:pPr>
      <w:r>
        <w:rPr>
          <w:sz w:val="21"/>
          <w:szCs w:val="21"/>
        </w:rPr>
        <w:t xml:space="preserve">Revisar la Cláusula 7 (limitación de responsabilidad) contra el derecho civil local -- el artículo 1328 citado es del Código Civil peruano; el límite de lo que se puede pactar varía por país.</w:t>
      </w:r>
    </w:p>
    <w:p>
      <w:pPr>
        <w:pStyle w:val="ListParagraph"/>
        <w:numPr>
          <w:ilvl w:val="0"/>
          <w:numId w:val="1"/>
        </w:numPr>
        <w:spacing w:after="100" w:line="300"/>
      </w:pPr>
      <w:r>
        <w:rPr>
          <w:sz w:val="21"/>
          <w:szCs w:val="21"/>
        </w:rPr>
        <w:t xml:space="preserve">Revisar la Cláusula 2 (declaración de IA) contra cualquier ley local de divulgación de IA -- varía más rápido que el resto del contrato.</w:t>
      </w:r>
    </w:p>
    <w:p>
      <w:pPr>
        <w:pStyle w:val="Heading2"/>
        <w:spacing w:after="120" w:before="300"/>
      </w:pPr>
      <w:r>
        <w:rPr>
          <w:b/>
          <w:bCs/>
          <w:color w:val="1C1C1C"/>
          <w:sz w:val="24"/>
          <w:szCs w:val="24"/>
        </w:rPr>
        <w:t xml:space="preserve">Estado actual</w:t>
      </w:r>
    </w:p>
    <w:p>
      <w:pPr>
        <w:spacing w:after="160" w:line="300"/>
      </w:pPr>
      <w:r>
        <w:rPr>
          <w:b/>
          <w:bCs/>
          <w:sz w:val="21"/>
          <w:szCs w:val="21"/>
        </w:rPr>
        <w:t xml:space="preserve">Perú: </w:t>
      </w:r>
      <w:r>
        <w:rPr>
          <w:sz w:val="21"/>
          <w:szCs w:val="21"/>
        </w:rPr>
        <w:t xml:space="preserve">contrato completo redactado (v2), pendiente de validación por abogado.</w:t>
      </w:r>
    </w:p>
    <w:p>
      <w:pPr>
        <w:spacing w:after="160" w:line="300"/>
      </w:pPr>
      <w:r>
        <w:rPr>
          <w:b/>
          <w:bCs/>
          <w:sz w:val="21"/>
          <w:szCs w:val="21"/>
        </w:rPr>
        <w:t xml:space="preserve">Otros países: </w:t>
      </w:r>
      <w:r>
        <w:rPr>
          <w:sz w:val="21"/>
          <w:szCs w:val="21"/>
        </w:rPr>
        <w:t xml:space="preserve">sin cláusula de jurisdicción validada todavía -- no usar este Contrato fuera de Perú hasta que exista una, país por país.</w:t>
      </w:r>
    </w:p>
    <w:p>
      <w:r>
        <w:br w:type="page"/>
      </w:r>
    </w:p>
    <w:p>
      <w:pPr>
        <w:pStyle w:val="Heading1"/>
        <w:pBdr>
          <w:bottom w:val="single" w:color="FF6A00" w:sz="6"/>
        </w:pBdr>
        <w:spacing w:after="200" w:before="400"/>
      </w:pPr>
      <w:r>
        <w:rPr>
          <w:b/>
          <w:bCs/>
          <w:color w:val="FF6A00"/>
          <w:sz w:val="28"/>
          <w:szCs w:val="28"/>
        </w:rPr>
        <w:t xml:space="preserve">Registro de cambios v2 (observaciones de Alberto, 18-ago-2026)</w:t>
      </w:r>
    </w:p>
    <w:p>
      <w:pPr>
        <w:pStyle w:val="ListParagraph"/>
        <w:numPr>
          <w:ilvl w:val="0"/>
          <w:numId w:val="1"/>
        </w:numPr>
        <w:spacing w:after="100" w:line="300"/>
      </w:pPr>
      <w:r>
        <w:rPr>
          <w:b/>
          <w:bCs/>
          <w:sz w:val="21"/>
          <w:szCs w:val="21"/>
        </w:rPr>
        <w:t xml:space="preserve">4.2 — </w:t>
      </w:r>
      <w:r>
        <w:rPr>
          <w:sz w:val="21"/>
          <w:szCs w:val="21"/>
        </w:rPr>
        <w:t xml:space="preserve">reemplazado "más allá de lo necesario" por la redacción de Alberto: los datos se toman como fuente para prestar el servicio, sin adquirir propiedad en ningún momento.</w:t>
      </w:r>
    </w:p>
    <w:p>
      <w:pPr>
        <w:pStyle w:val="ListParagraph"/>
        <w:numPr>
          <w:ilvl w:val="0"/>
          <w:numId w:val="1"/>
        </w:numPr>
        <w:spacing w:after="100" w:line="300"/>
      </w:pPr>
      <w:r>
        <w:rPr>
          <w:b/>
          <w:bCs/>
          <w:sz w:val="21"/>
          <w:szCs w:val="21"/>
        </w:rPr>
        <w:t xml:space="preserve">5.2 — </w:t>
      </w:r>
      <w:r>
        <w:rPr>
          <w:sz w:val="21"/>
          <w:szCs w:val="21"/>
        </w:rPr>
        <w:t xml:space="preserve">reemplazada íntegramente por la redacción de Alberto (el CLIENTE es dueño de la información; comunicación a terceros solo cuando sea estrictamente necesario para las automatizaciones habilitadas).</w:t>
      </w:r>
    </w:p>
    <w:p>
      <w:pPr>
        <w:pStyle w:val="ListParagraph"/>
        <w:numPr>
          <w:ilvl w:val="0"/>
          <w:numId w:val="1"/>
        </w:numPr>
        <w:spacing w:after="100" w:line="300"/>
      </w:pPr>
      <w:r>
        <w:rPr>
          <w:b/>
          <w:bCs/>
          <w:sz w:val="21"/>
          <w:szCs w:val="21"/>
        </w:rPr>
        <w:t xml:space="preserve">6.3 — </w:t>
      </w:r>
      <w:r>
        <w:rPr>
          <w:sz w:val="21"/>
          <w:szCs w:val="21"/>
        </w:rPr>
        <w:t xml:space="preserve">precisado que el retiro puede ejecutarse por medios manuales o automatizados del propio Servicio, con notificación al CLIENTE indicando contenido y motivo. La construcción del agente de retiro es una decisión de producto separada, anotada en el backlog.</w:t>
      </w:r>
    </w:p>
    <w:p>
      <w:pPr>
        <w:pStyle w:val="ListParagraph"/>
        <w:numPr>
          <w:ilvl w:val="0"/>
          <w:numId w:val="1"/>
        </w:numPr>
        <w:spacing w:after="100" w:line="300"/>
      </w:pPr>
      <w:r>
        <w:rPr>
          <w:b/>
          <w:bCs/>
          <w:sz w:val="21"/>
          <w:szCs w:val="21"/>
        </w:rPr>
        <w:t xml:space="preserve">7 (antes 7.1) — </w:t>
      </w:r>
      <w:r>
        <w:rPr>
          <w:sz w:val="21"/>
          <w:szCs w:val="21"/>
        </w:rPr>
        <w:t xml:space="preserve">reestructurada completa: margen de error inherente de la IA + modelos de terceros que subyacen en la plataforma Odoo + EFFICAX responde solo por su implementación diligente. NO se redactó como exención civil total porque el art. 1328 del Código Civil peruano la haría nula -- se delimitó dentro de lo exigible.</w:t>
      </w:r>
    </w:p>
    <w:p>
      <w:pPr>
        <w:pStyle w:val="ListParagraph"/>
        <w:numPr>
          <w:ilvl w:val="0"/>
          <w:numId w:val="1"/>
        </w:numPr>
        <w:spacing w:after="100" w:line="300"/>
      </w:pPr>
      <w:r>
        <w:rPr>
          <w:b/>
          <w:bCs/>
          <w:sz w:val="21"/>
          <w:szCs w:val="21"/>
        </w:rPr>
        <w:t xml:space="preserve">7.3 (antes 7.2) — </w:t>
      </w:r>
      <w:r>
        <w:rPr>
          <w:sz w:val="21"/>
          <w:szCs w:val="21"/>
        </w:rPr>
        <w:t xml:space="preserve">explicado el tope: es el techo máximo de indemnización acumulada, con fórmula concreta (lo pagado en los últimos 3 meses) y ejemplo numérico.</w:t>
      </w:r>
    </w:p>
    <w:p>
      <w:pPr>
        <w:pStyle w:val="ListParagraph"/>
        <w:numPr>
          <w:ilvl w:val="0"/>
          <w:numId w:val="1"/>
        </w:numPr>
        <w:spacing w:after="100" w:line="300"/>
      </w:pPr>
      <w:r>
        <w:rPr>
          <w:b/>
          <w:bCs/>
          <w:sz w:val="21"/>
          <w:szCs w:val="21"/>
        </w:rPr>
        <w:t xml:space="preserve">7.4 (antes 7.3) — </w:t>
      </w:r>
      <w:r>
        <w:rPr>
          <w:sz w:val="21"/>
          <w:szCs w:val="21"/>
        </w:rPr>
        <w:t xml:space="preserve">especificados los daños excluidos (pérdida de ventas, clientela, interrupción, reputación) y los casos donde la exclusión NO aplica.</w:t>
      </w:r>
    </w:p>
    <w:p>
      <w:pPr>
        <w:pStyle w:val="ListParagraph"/>
        <w:numPr>
          <w:ilvl w:val="0"/>
          <w:numId w:val="1"/>
        </w:numPr>
        <w:spacing w:after="100" w:line="300"/>
      </w:pPr>
      <w:r>
        <w:rPr>
          <w:b/>
          <w:bCs/>
          <w:sz w:val="21"/>
          <w:szCs w:val="21"/>
        </w:rPr>
        <w:t xml:space="preserve">8.1/8.2 — </w:t>
      </w:r>
      <w:r>
        <w:rPr>
          <w:sz w:val="21"/>
          <w:szCs w:val="21"/>
        </w:rPr>
        <w:t xml:space="preserve">vigencia abierta ligada al pago mes a mes, como pidió Alberto. La suspensión a las 48 horas del impago coincide exactamente con el kill-switch técnico ya implementado y probado en la plataforma (guarda de licencia de Booster) -- el contrato y el código ahora dicen lo mismo.</w:t>
      </w:r>
    </w:p>
    <w:p>
      <w:pPr>
        <w:pStyle w:val="ListParagraph"/>
        <w:numPr>
          <w:ilvl w:val="0"/>
          <w:numId w:val="1"/>
        </w:numPr>
        <w:spacing w:after="100" w:line="300"/>
      </w:pPr>
      <w:r>
        <w:rPr>
          <w:b/>
          <w:bCs/>
          <w:sz w:val="21"/>
          <w:szCs w:val="21"/>
        </w:rPr>
        <w:t xml:space="preserve">8.4 — </w:t>
      </w:r>
      <w:r>
        <w:rPr>
          <w:sz w:val="21"/>
          <w:szCs w:val="21"/>
        </w:rPr>
        <w:t xml:space="preserve">redacción mejorada: la exportación cubre solo los Datos del Cliente; las funcionalidades y automatizaciones generadas por Booster quedan expresamente fuera, no son transferibles y cesan con la terminación.</w:t>
      </w:r>
    </w:p>
    <w:p>
      <w:pPr>
        <w:pStyle w:val="ListParagraph"/>
        <w:numPr>
          <w:ilvl w:val="0"/>
          <w:numId w:val="1"/>
        </w:numPr>
        <w:spacing w:after="100" w:line="300"/>
      </w:pPr>
      <w:r>
        <w:rPr>
          <w:b/>
          <w:bCs/>
          <w:sz w:val="21"/>
          <w:szCs w:val="21"/>
        </w:rPr>
        <w:t xml:space="preserve">Plazos concretos — </w:t>
      </w:r>
      <w:r>
        <w:rPr>
          <w:sz w:val="21"/>
          <w:szCs w:val="21"/>
        </w:rPr>
        <w:t xml:space="preserve">se reemplazaron los [X días] genéricos por propuestas específicas: 2 días hábiles (respuesta humana), 48 horas + 30 días (impago), 15 días (subsanación), 30 días (exportación), 15 días (aviso de cambio de Política de Privacidad). Todos editables por Alberto o el abogado.</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2026-08-18T23:21:49.809Z</dcterms:created>
  <dcterms:modified xsi:type="dcterms:W3CDTF">2026-08-18T23:21:49.810Z</dcterms:modified>
</cp:coreProperties>
</file>

<file path=docProps/custom.xml><?xml version="1.0" encoding="utf-8"?>
<Properties xmlns="http://schemas.openxmlformats.org/officeDocument/2006/custom-properties" xmlns:vt="http://schemas.openxmlformats.org/officeDocument/2006/docPropsVTypes"/>
</file>