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IMPLEMENTACIÓN DEL SISTEMA ODOO</w:t>
      </w:r>
    </w:p>
    <w:p>
      <w:pPr>
        <w:pStyle w:val="Heading2"/>
        <w:spacing w:after="300"/>
      </w:pPr>
      <w:r>
        <w:t xml:space="preserve">Contabilidad (Localización Perú), Créditos y Cobranzas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00"/>
              <w:bottom w:type="dxa" w:w="80"/>
              <w:right w:type="dxa" w:w="100"/>
            </w:tcMar>
          </w:tcPr>
          <w:p>
            <w:r>
              <w:rPr>
                <w:b/>
                <w:bCs/>
                <w:color w:val="FFFFFF"/>
              </w:rPr>
              <w:t xml:space="preserve">Campo</w:t>
            </w:r>
          </w:p>
        </w:tc>
        <w:tc>
          <w:tcPr>
            <w:tcW w:type="dxa" w:w="6800"/>
            <w:shd w:fill="1F3864" w:color="auto" w:val="clear"/>
            <w:tcMar>
              <w:top w:type="dxa" w:w="80"/>
              <w:left w:type="dxa" w:w="100"/>
              <w:bottom w:type="dxa" w:w="80"/>
              <w:right w:type="dxa" w:w="100"/>
            </w:tcMar>
          </w:tcPr>
          <w:p>
            <w:r>
              <w:rPr>
                <w:b/>
                <w:bCs/>
                <w:color w:val="FFFFFF"/>
              </w:rPr>
              <w:t xml:space="preserve">Detalle</w:t>
            </w:r>
          </w:p>
        </w:tc>
      </w:tr>
      <w:tr>
        <w:tc>
          <w:tcPr>
            <w:tcW w:type="dxa" w:w="2600"/>
            <w:shd w:fill="FFFFFF" w:color="auto" w:val="clear"/>
            <w:tcMar>
              <w:top w:type="dxa" w:w="80"/>
              <w:left w:type="dxa" w:w="100"/>
              <w:bottom w:type="dxa" w:w="80"/>
              <w:right w:type="dxa" w:w="100"/>
            </w:tcMar>
          </w:tcPr>
          <w:p>
            <w:r>
              <w:rPr>
                <w:b w:val="false"/>
                <w:bCs w:val="false"/>
              </w:rPr>
              <w:t xml:space="preserve">Módulos</w:t>
            </w:r>
          </w:p>
        </w:tc>
        <w:tc>
          <w:tcPr>
            <w:tcW w:type="dxa" w:w="6800"/>
            <w:shd w:fill="FFFFFF" w:color="auto" w:val="clear"/>
            <w:tcMar>
              <w:top w:type="dxa" w:w="80"/>
              <w:left w:type="dxa" w:w="100"/>
              <w:bottom w:type="dxa" w:w="80"/>
              <w:right w:type="dxa" w:w="100"/>
            </w:tcMar>
          </w:tcPr>
          <w:p>
            <w:r>
              <w:rPr>
                <w:b w:val="false"/>
                <w:bCs w:val="false"/>
              </w:rPr>
              <w:t xml:space="preserve">Contabilidad, Facturación Electrónica, Créditos y Cobranzas — Localización Perú</w:t>
            </w:r>
          </w:p>
        </w:tc>
      </w:tr>
      <w:tr>
        <w:tc>
          <w:tcPr>
            <w:tcW w:type="dxa" w:w="2600"/>
            <w:shd w:fill="F2F2F2" w:color="auto" w:val="clear"/>
            <w:tcMar>
              <w:top w:type="dxa" w:w="80"/>
              <w:left w:type="dxa" w:w="100"/>
              <w:bottom w:type="dxa" w:w="80"/>
              <w:right w:type="dxa" w:w="100"/>
            </w:tcMar>
          </w:tcPr>
          <w:p>
            <w:r>
              <w:rPr>
                <w:b w:val="false"/>
                <w:bCs w:val="false"/>
              </w:rPr>
              <w:t xml:space="preserve">Compañías</w:t>
            </w:r>
          </w:p>
        </w:tc>
        <w:tc>
          <w:tcPr>
            <w:tcW w:type="dxa" w:w="6800"/>
            <w:shd w:fill="F2F2F2" w:color="auto" w:val="clear"/>
            <w:tcMar>
              <w:top w:type="dxa" w:w="80"/>
              <w:left w:type="dxa" w:w="100"/>
              <w:bottom w:type="dxa" w:w="80"/>
              <w:right w:type="dxa" w:w="100"/>
            </w:tcMar>
          </w:tcPr>
          <w:p>
            <w:r>
              <w:rPr>
                <w:b w:val="false"/>
                <w:bCs w:val="false"/>
              </w:rPr>
              <w:t xml:space="preserve">Efficax Solutions SA · Haskell_Distribuidor · Haskell_Perú</w:t>
            </w:r>
          </w:p>
        </w:tc>
      </w:tr>
      <w:tr>
        <w:tc>
          <w:tcPr>
            <w:tcW w:type="dxa" w:w="2600"/>
            <w:shd w:fill="FFFFFF" w:color="auto" w:val="clear"/>
            <w:tcMar>
              <w:top w:type="dxa" w:w="80"/>
              <w:left w:type="dxa" w:w="100"/>
              <w:bottom w:type="dxa" w:w="80"/>
              <w:right w:type="dxa" w:w="100"/>
            </w:tcMar>
          </w:tcPr>
          <w:p>
            <w:r>
              <w:rPr>
                <w:b w:val="false"/>
                <w:bCs w:val="false"/>
              </w:rPr>
              <w:t xml:space="preserve">Consultora previa</w:t>
            </w:r>
          </w:p>
        </w:tc>
        <w:tc>
          <w:tcPr>
            <w:tcW w:type="dxa" w:w="6800"/>
            <w:shd w:fill="FFFFFF" w:color="auto" w:val="clear"/>
            <w:tcMar>
              <w:top w:type="dxa" w:w="80"/>
              <w:left w:type="dxa" w:w="100"/>
              <w:bottom w:type="dxa" w:w="80"/>
              <w:right w:type="dxa" w:w="100"/>
            </w:tcMar>
          </w:tcPr>
          <w:p>
            <w:r>
              <w:rPr>
                <w:b w:val="false"/>
                <w:bCs w:val="false"/>
              </w:rPr>
              <w:t xml:space="preserve">Constanza Herrera (instructivo base v1.0, 30/04/2025)</w:t>
            </w:r>
          </w:p>
        </w:tc>
      </w:tr>
      <w:tr>
        <w:tc>
          <w:tcPr>
            <w:tcW w:type="dxa" w:w="2600"/>
            <w:shd w:fill="F2F2F2" w:color="auto" w:val="clear"/>
            <w:tcMar>
              <w:top w:type="dxa" w:w="80"/>
              <w:left w:type="dxa" w:w="100"/>
              <w:bottom w:type="dxa" w:w="80"/>
              <w:right w:type="dxa" w:w="100"/>
            </w:tcMar>
          </w:tcPr>
          <w:p>
            <w:r>
              <w:rPr>
                <w:b w:val="false"/>
                <w:bCs w:val="false"/>
              </w:rPr>
              <w:t xml:space="preserve">Elaborado con</w:t>
            </w:r>
          </w:p>
        </w:tc>
        <w:tc>
          <w:tcPr>
            <w:tcW w:type="dxa" w:w="6800"/>
            <w:shd w:fill="F2F2F2" w:color="auto" w:val="clear"/>
            <w:tcMar>
              <w:top w:type="dxa" w:w="80"/>
              <w:left w:type="dxa" w:w="100"/>
              <w:bottom w:type="dxa" w:w="80"/>
              <w:right w:type="dxa" w:w="100"/>
            </w:tcMar>
          </w:tcPr>
          <w:p>
            <w:r>
              <w:rPr>
                <w:b w:val="false"/>
                <w:bCs w:val="false"/>
              </w:rPr>
              <w:t xml:space="preserve">Claude (Cowork) — a partir de documentación oficial Odoo 19 y decisiones de Alberto Ruiz</w:t>
            </w:r>
          </w:p>
        </w:tc>
      </w:tr>
      <w:tr>
        <w:tc>
          <w:tcPr>
            <w:tcW w:type="dxa" w:w="2600"/>
            <w:shd w:fill="FFFFFF" w:color="auto" w:val="clear"/>
            <w:tcMar>
              <w:top w:type="dxa" w:w="80"/>
              <w:left w:type="dxa" w:w="100"/>
              <w:bottom w:type="dxa" w:w="80"/>
              <w:right w:type="dxa" w:w="100"/>
            </w:tcMar>
          </w:tcPr>
          <w:p>
            <w:r>
              <w:rPr>
                <w:b w:val="false"/>
                <w:bCs w:val="false"/>
              </w:rPr>
              <w:t xml:space="preserve">Fecha</w:t>
            </w:r>
          </w:p>
        </w:tc>
        <w:tc>
          <w:tcPr>
            <w:tcW w:type="dxa" w:w="6800"/>
            <w:shd w:fill="FFFFFF" w:color="auto" w:val="clear"/>
            <w:tcMar>
              <w:top w:type="dxa" w:w="80"/>
              <w:left w:type="dxa" w:w="100"/>
              <w:bottom w:type="dxa" w:w="80"/>
              <w:right w:type="dxa" w:w="100"/>
            </w:tcMar>
          </w:tcPr>
          <w:p>
            <w:r>
              <w:rPr>
                <w:b w:val="false"/>
                <w:bCs w:val="false"/>
              </w:rPr>
              <w:t xml:space="preserve">3 de agosto de 2026</w:t>
            </w:r>
          </w:p>
        </w:tc>
      </w:tr>
      <w:tr>
        <w:tc>
          <w:tcPr>
            <w:tcW w:type="dxa" w:w="2600"/>
            <w:shd w:fill="F2F2F2" w:color="auto" w:val="clear"/>
            <w:tcMar>
              <w:top w:type="dxa" w:w="80"/>
              <w:left w:type="dxa" w:w="100"/>
              <w:bottom w:type="dxa" w:w="80"/>
              <w:right w:type="dxa" w:w="100"/>
            </w:tcMar>
          </w:tcPr>
          <w:p>
            <w:r>
              <w:rPr>
                <w:b w:val="false"/>
                <w:bCs w:val="false"/>
              </w:rPr>
              <w:t xml:space="preserve">Versión</w:t>
            </w:r>
          </w:p>
        </w:tc>
        <w:tc>
          <w:tcPr>
            <w:tcW w:type="dxa" w:w="6800"/>
            <w:shd w:fill="F2F2F2" w:color="auto" w:val="clear"/>
            <w:tcMar>
              <w:top w:type="dxa" w:w="80"/>
              <w:left w:type="dxa" w:w="100"/>
              <w:bottom w:type="dxa" w:w="80"/>
              <w:right w:type="dxa" w:w="100"/>
            </w:tcMar>
          </w:tcPr>
          <w:p>
            <w:r>
              <w:rPr>
                <w:b w:val="false"/>
                <w:bCs w:val="false"/>
              </w:rPr>
              <w:t xml:space="preserve">2.0</w:t>
            </w:r>
          </w:p>
        </w:tc>
      </w:tr>
    </w:tbl>
    <w:p>
      <w:pPr>
        <w:spacing w:after="300"/>
      </w:pPr>
    </w:p>
    <w:p>
      <w:pPr>
        <w:pStyle w:val="Heading1"/>
        <w:spacing w:after="160" w:before="320"/>
      </w:pPr>
      <w:r>
        <w:t xml:space="preserve">1. Introducción y alcance</w:t>
      </w:r>
    </w:p>
    <w:p>
      <w:pPr>
        <w:spacing w:after="160"/>
      </w:pPr>
      <w:r>
        <w:t xml:space="preserve">Este manual retoma y completa el instructivo original de implementación de Odoo (localización Perú), enfocándose en las tres piezas que quedaban pendientes: el módulo de Contabilidad con facturación electrónica, la línea de crédito por asesor, y el seguimiento de cobranzas. Los módulos de Ventas y CRM ya fueron cubiertos en el diseño del agente Hasky y no se repiten aquí.</w:t>
      </w:r>
    </w:p>
    <w:p>
      <w:pPr>
        <w:spacing w:after="160"/>
      </w:pPr>
      <w:r>
        <w:t xml:space="preserve">El punto de partida real de Efficax/Haskell tiene una particularidad importante que condiciona todo el diseño: de las tres compañías en Odoo, solo Efficax Solutions SA cuenta hoy con RUC propio. Haskell_Distribuidor y Haskell_Perú tienen su RUC en trámite. Este manual documenta, por tanto, dos vías paralelas:</w:t>
      </w:r>
    </w:p>
    <w:p>
      <w:pPr>
        <w:pStyle w:val="ListParagraph"/>
        <w:numPr>
          <w:ilvl w:val="0"/>
          <w:numId w:val="1"/>
        </w:numPr>
        <w:spacing w:after="80"/>
      </w:pPr>
      <w:r>
        <w:t xml:space="preserve">Vía A — Efficax: implementación completa de facturación electrónica con su propio RUC.</w:t>
      </w:r>
    </w:p>
    <w:p>
      <w:pPr>
        <w:pStyle w:val="ListParagraph"/>
        <w:numPr>
          <w:ilvl w:val="0"/>
          <w:numId w:val="1"/>
        </w:numPr>
        <w:spacing w:after="80"/>
      </w:pPr>
      <w:r>
        <w:t xml:space="preserve">Vía B — Haskell (temporal): mientras se tramita el RUC de las empresas Haskell, se factura bajo el RUC personal de Alberto Ruiz Díaz (10095397757), en Régimen Especial de Renta (RER), que sí permite emitir tanto boletas como facturas.</w:t>
      </w:r>
    </w:p>
    <w:p>
      <w:pPr>
        <w:pBdr>
          <w:left w:val="single" w:color="B08D57" w:sz="18" w:space="8"/>
        </w:pBdr>
        <w:spacing w:after="160" w:before="80"/>
        <w:ind w:left="200"/>
      </w:pPr>
      <w:r>
        <w:rPr>
          <w:b/>
          <w:bCs/>
          <w:color w:val="1F3864"/>
        </w:rPr>
        <w:t xml:space="preserve">Advertencia: </w:t>
      </w:r>
      <w:r>
        <w:t xml:space="preserve">Esta es una decisión de negocio con implicancia tributaria real (se mezclan temporalmente los ingresos de Haskell con el RUC personal de Alberto). Este manual documenta cómo configurarlo en Odoo; la validación final de que esta vía es la correcta para su caso debe hacerla su contador — Claude no es asesor tributario ni legal.</w:t>
      </w:r>
    </w:p>
    <w:p>
      <w:pPr>
        <w:pStyle w:val="Heading1"/>
        <w:spacing w:after="160" w:before="320"/>
      </w:pPr>
      <w:r>
        <w:t xml:space="preserve">2. Situación actual y decisiones tomadas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200"/>
        <w:gridCol w:w="1200"/>
      </w:tblGrid>
      <w:tr>
        <w:trPr>
          <w:tblHeader/>
        </w:trPr>
        <w:tc>
          <w:tcPr>
            <w:tcW w:type="dxa" w:w="2400"/>
            <w:shd w:fill="1F3864" w:color="auto" w:val="clear"/>
            <w:tcMar>
              <w:top w:type="dxa" w:w="80"/>
              <w:left w:type="dxa" w:w="100"/>
              <w:bottom w:type="dxa" w:w="80"/>
              <w:right w:type="dxa" w:w="100"/>
            </w:tcMar>
          </w:tcPr>
          <w:p>
            <w:r>
              <w:rPr>
                <w:b/>
                <w:bCs/>
                <w:color w:val="FFFFFF"/>
              </w:rPr>
              <w:t xml:space="preserve">Compañía en Odoo</w:t>
            </w:r>
          </w:p>
        </w:tc>
        <w:tc>
          <w:tcPr>
            <w:tcW w:type="dxa" w:w="2000"/>
            <w:shd w:fill="1F3864" w:color="auto" w:val="clear"/>
            <w:tcMar>
              <w:top w:type="dxa" w:w="80"/>
              <w:left w:type="dxa" w:w="100"/>
              <w:bottom w:type="dxa" w:w="80"/>
              <w:right w:type="dxa" w:w="100"/>
            </w:tcMar>
          </w:tcPr>
          <w:p>
            <w:r>
              <w:rPr>
                <w:b/>
                <w:bCs/>
                <w:color w:val="FFFFFF"/>
              </w:rPr>
              <w:t xml:space="preserve">RUC</w:t>
            </w:r>
          </w:p>
        </w:tc>
        <w:tc>
          <w:tcPr>
            <w:tcW w:type="dxa" w:w="1600"/>
            <w:shd w:fill="1F3864" w:color="auto" w:val="clear"/>
            <w:tcMar>
              <w:top w:type="dxa" w:w="80"/>
              <w:left w:type="dxa" w:w="100"/>
              <w:bottom w:type="dxa" w:w="80"/>
              <w:right w:type="dxa" w:w="100"/>
            </w:tcMar>
          </w:tcPr>
          <w:p>
            <w:r>
              <w:rPr>
                <w:b/>
                <w:bCs/>
                <w:color w:val="FFFFFF"/>
              </w:rPr>
              <w:t xml:space="preserve">Régimen</w:t>
            </w:r>
          </w:p>
        </w:tc>
        <w:tc>
          <w:tcPr>
            <w:tcW w:type="dxa" w:w="2200"/>
            <w:shd w:fill="1F3864" w:color="auto" w:val="clear"/>
            <w:tcMar>
              <w:top w:type="dxa" w:w="80"/>
              <w:left w:type="dxa" w:w="100"/>
              <w:bottom w:type="dxa" w:w="80"/>
              <w:right w:type="dxa" w:w="100"/>
            </w:tcMar>
          </w:tcPr>
          <w:p>
            <w:r>
              <w:rPr>
                <w:b/>
                <w:bCs/>
                <w:color w:val="FFFFFF"/>
              </w:rPr>
              <w:t xml:space="preserve">Comprobantes habilitados</w:t>
            </w:r>
          </w:p>
        </w:tc>
        <w:tc>
          <w:tcPr>
            <w:tcW w:type="dxa" w:w="1200"/>
            <w:shd w:fill="1F3864" w:color="auto" w:val="clear"/>
            <w:tcMar>
              <w:top w:type="dxa" w:w="80"/>
              <w:left w:type="dxa" w:w="100"/>
              <w:bottom w:type="dxa" w:w="80"/>
              <w:right w:type="dxa" w:w="100"/>
            </w:tcMar>
          </w:tcPr>
          <w:p>
            <w:r>
              <w:rPr>
                <w:b/>
                <w:bCs/>
                <w:color w:val="FFFFFF"/>
              </w:rPr>
              <w:t xml:space="preserve">Estado</w:t>
            </w:r>
          </w:p>
        </w:tc>
      </w:tr>
      <w:tr>
        <w:tc>
          <w:tcPr>
            <w:tcW w:type="dxa" w:w="2400"/>
            <w:shd w:fill="FFFFFF" w:color="auto" w:val="clear"/>
            <w:tcMar>
              <w:top w:type="dxa" w:w="80"/>
              <w:left w:type="dxa" w:w="100"/>
              <w:bottom w:type="dxa" w:w="80"/>
              <w:right w:type="dxa" w:w="100"/>
            </w:tcMar>
          </w:tcPr>
          <w:p>
            <w:r>
              <w:rPr>
                <w:b w:val="false"/>
                <w:bCs w:val="false"/>
              </w:rPr>
              <w:t xml:space="preserve">Efficax Solutions SA</w:t>
            </w:r>
          </w:p>
        </w:tc>
        <w:tc>
          <w:tcPr>
            <w:tcW w:type="dxa" w:w="2000"/>
            <w:shd w:fill="FFFFFF" w:color="auto" w:val="clear"/>
            <w:tcMar>
              <w:top w:type="dxa" w:w="80"/>
              <w:left w:type="dxa" w:w="100"/>
              <w:bottom w:type="dxa" w:w="80"/>
              <w:right w:type="dxa" w:w="100"/>
            </w:tcMar>
          </w:tcPr>
          <w:p>
            <w:r>
              <w:rPr>
                <w:b w:val="false"/>
                <w:bCs w:val="false"/>
              </w:rPr>
              <w:t xml:space="preserve">RUC propio (activo)</w:t>
            </w:r>
          </w:p>
        </w:tc>
        <w:tc>
          <w:tcPr>
            <w:tcW w:type="dxa" w:w="1600"/>
            <w:shd w:fill="FFFFFF" w:color="auto" w:val="clear"/>
            <w:tcMar>
              <w:top w:type="dxa" w:w="80"/>
              <w:left w:type="dxa" w:w="100"/>
              <w:bottom w:type="dxa" w:w="80"/>
              <w:right w:type="dxa" w:w="100"/>
            </w:tcMar>
          </w:tcPr>
          <w:p>
            <w:r>
              <w:rPr>
                <w:b w:val="false"/>
                <w:bCs w:val="false"/>
              </w:rPr>
              <w:t xml:space="preserve">A confirmar con contador</w:t>
            </w:r>
          </w:p>
        </w:tc>
        <w:tc>
          <w:tcPr>
            <w:tcW w:type="dxa" w:w="2200"/>
            <w:shd w:fill="FFFFFF" w:color="auto" w:val="clear"/>
            <w:tcMar>
              <w:top w:type="dxa" w:w="80"/>
              <w:left w:type="dxa" w:w="100"/>
              <w:bottom w:type="dxa" w:w="80"/>
              <w:right w:type="dxa" w:w="100"/>
            </w:tcMar>
          </w:tcPr>
          <w:p>
            <w:r>
              <w:rPr>
                <w:b w:val="false"/>
                <w:bCs w:val="false"/>
              </w:rPr>
              <w:t xml:space="preserve">Factura y boleta</w:t>
            </w:r>
          </w:p>
        </w:tc>
        <w:tc>
          <w:tcPr>
            <w:tcW w:type="dxa" w:w="1200"/>
            <w:shd w:fill="FFFFFF" w:color="auto" w:val="clear"/>
            <w:tcMar>
              <w:top w:type="dxa" w:w="80"/>
              <w:left w:type="dxa" w:w="100"/>
              <w:bottom w:type="dxa" w:w="80"/>
              <w:right w:type="dxa" w:w="100"/>
            </w:tcMar>
          </w:tcPr>
          <w:p>
            <w:r>
              <w:rPr>
                <w:b w:val="false"/>
                <w:bCs w:val="false"/>
              </w:rPr>
              <w:t xml:space="preserve">Facturación electrónica en proceso de verificación (ver sección 4.4)</w:t>
            </w:r>
          </w:p>
        </w:tc>
      </w:tr>
      <w:tr>
        <w:tc>
          <w:tcPr>
            <w:tcW w:type="dxa" w:w="2400"/>
            <w:shd w:fill="F2F2F2" w:color="auto" w:val="clear"/>
            <w:tcMar>
              <w:top w:type="dxa" w:w="80"/>
              <w:left w:type="dxa" w:w="100"/>
              <w:bottom w:type="dxa" w:w="80"/>
              <w:right w:type="dxa" w:w="100"/>
            </w:tcMar>
          </w:tcPr>
          <w:p>
            <w:r>
              <w:rPr>
                <w:b w:val="false"/>
                <w:bCs w:val="false"/>
              </w:rPr>
              <w:t xml:space="preserve">Haskell_Distribuidor / Haskell_Perú</w:t>
            </w:r>
          </w:p>
        </w:tc>
        <w:tc>
          <w:tcPr>
            <w:tcW w:type="dxa" w:w="2000"/>
            <w:shd w:fill="F2F2F2" w:color="auto" w:val="clear"/>
            <w:tcMar>
              <w:top w:type="dxa" w:w="80"/>
              <w:left w:type="dxa" w:w="100"/>
              <w:bottom w:type="dxa" w:w="80"/>
              <w:right w:type="dxa" w:w="100"/>
            </w:tcMar>
          </w:tcPr>
          <w:p>
            <w:r>
              <w:rPr>
                <w:b w:val="false"/>
                <w:bCs w:val="false"/>
              </w:rPr>
              <w:t xml:space="preserve">En trámite</w:t>
            </w:r>
          </w:p>
        </w:tc>
        <w:tc>
          <w:tcPr>
            <w:tcW w:type="dxa" w:w="1600"/>
            <w:shd w:fill="F2F2F2" w:color="auto" w:val="clear"/>
            <w:tcMar>
              <w:top w:type="dxa" w:w="80"/>
              <w:left w:type="dxa" w:w="100"/>
              <w:bottom w:type="dxa" w:w="80"/>
              <w:right w:type="dxa" w:w="100"/>
            </w:tcMar>
          </w:tcPr>
          <w:p>
            <w:r>
              <w:rPr>
                <w:b w:val="false"/>
                <w:bCs w:val="false"/>
              </w:rPr>
              <w:t xml:space="preserve">—</w:t>
            </w:r>
          </w:p>
        </w:tc>
        <w:tc>
          <w:tcPr>
            <w:tcW w:type="dxa" w:w="2200"/>
            <w:shd w:fill="F2F2F2" w:color="auto" w:val="clear"/>
            <w:tcMar>
              <w:top w:type="dxa" w:w="80"/>
              <w:left w:type="dxa" w:w="100"/>
              <w:bottom w:type="dxa" w:w="80"/>
              <w:right w:type="dxa" w:w="100"/>
            </w:tcMar>
          </w:tcPr>
          <w:p>
            <w:r>
              <w:rPr>
                <w:b w:val="false"/>
                <w:bCs w:val="false"/>
              </w:rPr>
              <w:t xml:space="preserve">—</w:t>
            </w:r>
          </w:p>
        </w:tc>
        <w:tc>
          <w:tcPr>
            <w:tcW w:type="dxa" w:w="1200"/>
            <w:shd w:fill="F2F2F2" w:color="auto" w:val="clear"/>
            <w:tcMar>
              <w:top w:type="dxa" w:w="80"/>
              <w:left w:type="dxa" w:w="100"/>
              <w:bottom w:type="dxa" w:w="80"/>
              <w:right w:type="dxa" w:w="100"/>
            </w:tcMar>
          </w:tcPr>
          <w:p>
            <w:r>
              <w:rPr>
                <w:b w:val="false"/>
                <w:bCs w:val="false"/>
              </w:rPr>
              <w:t xml:space="preserve">Bloqueado hasta obtener RUC propio</w:t>
            </w:r>
          </w:p>
        </w:tc>
      </w:tr>
      <w:tr>
        <w:tc>
          <w:tcPr>
            <w:tcW w:type="dxa" w:w="2400"/>
            <w:shd w:fill="FFFFFF" w:color="auto" w:val="clear"/>
            <w:tcMar>
              <w:top w:type="dxa" w:w="80"/>
              <w:left w:type="dxa" w:w="100"/>
              <w:bottom w:type="dxa" w:w="80"/>
              <w:right w:type="dxa" w:w="100"/>
            </w:tcMar>
          </w:tcPr>
          <w:p>
            <w:r>
              <w:rPr>
                <w:b w:val="false"/>
                <w:bCs w:val="false"/>
              </w:rPr>
              <w:t xml:space="preserve">Vía temporal (persona natural)</w:t>
            </w:r>
          </w:p>
        </w:tc>
        <w:tc>
          <w:tcPr>
            <w:tcW w:type="dxa" w:w="2000"/>
            <w:shd w:fill="FFFFFF" w:color="auto" w:val="clear"/>
            <w:tcMar>
              <w:top w:type="dxa" w:w="80"/>
              <w:left w:type="dxa" w:w="100"/>
              <w:bottom w:type="dxa" w:w="80"/>
              <w:right w:type="dxa" w:w="100"/>
            </w:tcMar>
          </w:tcPr>
          <w:p>
            <w:r>
              <w:rPr>
                <w:b w:val="false"/>
                <w:bCs w:val="false"/>
              </w:rPr>
              <w:t xml:space="preserve">10095397757 — Juan Alberto Ruiz Díaz</w:t>
            </w:r>
          </w:p>
        </w:tc>
        <w:tc>
          <w:tcPr>
            <w:tcW w:type="dxa" w:w="1600"/>
            <w:shd w:fill="FFFFFF" w:color="auto" w:val="clear"/>
            <w:tcMar>
              <w:top w:type="dxa" w:w="80"/>
              <w:left w:type="dxa" w:w="100"/>
              <w:bottom w:type="dxa" w:w="80"/>
              <w:right w:type="dxa" w:w="100"/>
            </w:tcMar>
          </w:tcPr>
          <w:p>
            <w:r>
              <w:rPr>
                <w:b w:val="false"/>
                <w:bCs w:val="false"/>
              </w:rPr>
              <w:t xml:space="preserve">RER</w:t>
            </w:r>
          </w:p>
        </w:tc>
        <w:tc>
          <w:tcPr>
            <w:tcW w:type="dxa" w:w="2200"/>
            <w:shd w:fill="FFFFFF" w:color="auto" w:val="clear"/>
            <w:tcMar>
              <w:top w:type="dxa" w:w="80"/>
              <w:left w:type="dxa" w:w="100"/>
              <w:bottom w:type="dxa" w:w="80"/>
              <w:right w:type="dxa" w:w="100"/>
            </w:tcMar>
          </w:tcPr>
          <w:p>
            <w:r>
              <w:rPr>
                <w:b w:val="false"/>
                <w:bCs w:val="false"/>
              </w:rPr>
              <w:t xml:space="preserve">Factura y boleta (sin tope mensual; tope anual S/ 525,000)</w:t>
            </w:r>
          </w:p>
        </w:tc>
        <w:tc>
          <w:tcPr>
            <w:tcW w:type="dxa" w:w="1200"/>
            <w:shd w:fill="FFFFFF" w:color="auto" w:val="clear"/>
            <w:tcMar>
              <w:top w:type="dxa" w:w="80"/>
              <w:left w:type="dxa" w:w="100"/>
              <w:bottom w:type="dxa" w:w="80"/>
              <w:right w:type="dxa" w:w="100"/>
            </w:tcMar>
          </w:tcPr>
          <w:p>
            <w:r>
              <w:rPr>
                <w:b w:val="false"/>
                <w:bCs w:val="false"/>
              </w:rPr>
              <w:t xml:space="preserve">A configurar como cuarta identidad fiscal en Odoo mientras se resuelve el RUC de Haskell</w:t>
            </w:r>
          </w:p>
        </w:tc>
      </w:tr>
    </w:tbl>
    <w:p>
      <w:pPr>
        <w:spacing w:after="200"/>
      </w:pPr>
    </w:p>
    <w:p>
      <w:pPr>
        <w:spacing w:after="160"/>
      </w:pPr>
      <w:r>
        <w:t xml:space="preserve">Otras decisiones ya cerradas para este diseño:</w:t>
      </w:r>
    </w:p>
    <w:p>
      <w:pPr>
        <w:pStyle w:val="ListParagraph"/>
        <w:numPr>
          <w:ilvl w:val="0"/>
          <w:numId w:val="1"/>
        </w:numPr>
        <w:spacing w:after="80"/>
      </w:pPr>
      <w:r>
        <w:t xml:space="preserve">Proveedor de firma electrónica: IAP de Odoo (incluye certificado digital; se paga por créditos de uso — ver sección 4.4).</w:t>
      </w:r>
    </w:p>
    <w:p>
      <w:pPr>
        <w:pStyle w:val="ListParagraph"/>
        <w:numPr>
          <w:ilvl w:val="0"/>
          <w:numId w:val="1"/>
        </w:numPr>
        <w:spacing w:after="80"/>
      </w:pPr>
      <w:r>
        <w:t xml:space="preserve">Cobranzas: recordatorios automáticos únicamente por email (sin WhatsApp/SMS por ahora, para no depender de créditos IAP adicionales ni de la integración de WhatsApp Business).</w:t>
      </w:r>
    </w:p>
    <w:p>
      <w:pPr>
        <w:pStyle w:val="ListParagraph"/>
        <w:numPr>
          <w:ilvl w:val="0"/>
          <w:numId w:val="1"/>
        </w:numPr>
        <w:spacing w:after="80"/>
      </w:pPr>
      <w:r>
        <w:t xml:space="preserve">Línea de crédito: aplica de inmediato a las tres compañías — no depende de tener RUC ni de la facturación electrónica.</w:t>
      </w:r>
    </w:p>
    <w:p>
      <w:pPr>
        <w:pStyle w:val="Heading1"/>
        <w:spacing w:after="160" w:before="320"/>
      </w:pPr>
      <w:r>
        <w:t xml:space="preserve">3. Requisitos previos</w:t>
      </w:r>
    </w:p>
    <w:p>
      <w:pPr>
        <w:spacing w:after="160"/>
      </w:pPr>
      <w:r>
        <w:t xml:space="preserve">Antes de tocar Odoo, esto debe estar resuelto:</w:t>
      </w:r>
    </w:p>
    <w:p>
      <w:pPr>
        <w:pStyle w:val="ListParagraph"/>
        <w:numPr>
          <w:ilvl w:val="0"/>
          <w:numId w:val="2"/>
        </w:numPr>
        <w:spacing w:after="80"/>
      </w:pPr>
      <w:r>
        <w:t xml:space="preserve">Confirmar el régimen tributario exacto de Efficax Solutions SA (Régimen General, MYPE Tributario, etc.) — condiciona el plan de cuentas y las declaraciones.</w:t>
      </w:r>
    </w:p>
    <w:p>
      <w:pPr>
        <w:pStyle w:val="ListParagraph"/>
        <w:numPr>
          <w:ilvl w:val="0"/>
          <w:numId w:val="2"/>
        </w:numPr>
        <w:spacing w:after="80"/>
      </w:pPr>
      <w:r>
        <w:t xml:space="preserve">Confirmar que el RUC personal de Alberto (10095397757) está efectivamente en RER y no en Nuevo RUS — bajo RUS no se pueden emitir facturas, solo boletas.</w:t>
      </w:r>
    </w:p>
    <w:p>
      <w:pPr>
        <w:pStyle w:val="ListParagraph"/>
        <w:numPr>
          <w:ilvl w:val="0"/>
          <w:numId w:val="2"/>
        </w:numPr>
        <w:spacing w:after="80"/>
      </w:pPr>
      <w:r>
        <w:t xml:space="preserve">Credenciales SOL de SUNAT (usuario y clave de Operaciones en Línea) para Efficax. Para la vía del RUC personal, las credenciales SOL personales de Alberto.</w:t>
      </w:r>
    </w:p>
    <w:p>
      <w:pPr>
        <w:pStyle w:val="ListParagraph"/>
        <w:numPr>
          <w:ilvl w:val="0"/>
          <w:numId w:val="2"/>
        </w:numPr>
        <w:spacing w:after="80"/>
      </w:pPr>
      <w:r>
        <w:t xml:space="preserve">Decidir si se usará el ambiente de pruebas de Odoo antes de facturar en producción (recomendado para el primer comprobante de cada compañía).</w:t>
      </w:r>
    </w:p>
    <w:p>
      <w:pPr>
        <w:pStyle w:val="ListParagraph"/>
        <w:numPr>
          <w:ilvl w:val="0"/>
          <w:numId w:val="2"/>
        </w:numPr>
        <w:spacing w:after="80"/>
      </w:pPr>
      <w:r>
        <w:t xml:space="preserve">Tener resueltas las series de numeración deseadas para factura y boleta (Odoo las genera, pero conviene definir el criterio: una serie por compañía/RUC).</w:t>
      </w:r>
    </w:p>
    <w:p>
      <w:pPr>
        <w:pStyle w:val="Heading1"/>
        <w:spacing w:after="160" w:before="320"/>
      </w:pPr>
      <w:r>
        <w:t xml:space="preserve">4. Módulo Contabilidad — Localización Perú</w:t>
      </w:r>
    </w:p>
    <w:p>
      <w:pPr>
        <w:pStyle w:val="Heading2"/>
        <w:spacing w:after="120" w:before="260"/>
      </w:pPr>
      <w:r>
        <w:t xml:space="preserve">4.1 Módulos a instalar</w:t>
      </w:r>
    </w:p>
    <w:p>
      <w:pPr>
        <w:spacing w:after="160"/>
      </w:pPr>
      <w:r>
        <w:t xml:space="preserve">Desde Aplicaciones, buscar “Perú” e instalar (Odoo instala automáticamente las dependencias):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000"/>
      </w:tblGrid>
      <w:tr>
        <w:trPr>
          <w:tblHeader/>
        </w:trPr>
        <w:tc>
          <w:tcPr>
            <w:tcW w:type="dxa" w:w="2600"/>
            <w:shd w:fill="1F3864" w:color="auto" w:val="clear"/>
            <w:tcMar>
              <w:top w:type="dxa" w:w="80"/>
              <w:left w:type="dxa" w:w="100"/>
              <w:bottom w:type="dxa" w:w="80"/>
              <w:right w:type="dxa" w:w="100"/>
            </w:tcMar>
          </w:tcPr>
          <w:p>
            <w:r>
              <w:rPr>
                <w:b/>
                <w:bCs/>
                <w:color w:val="FFFFFF"/>
              </w:rPr>
              <w:t xml:space="preserve">Nombre</w:t>
            </w:r>
          </w:p>
        </w:tc>
        <w:tc>
          <w:tcPr>
            <w:tcW w:type="dxa" w:w="1800"/>
            <w:shd w:fill="1F3864" w:color="auto" w:val="clear"/>
            <w:tcMar>
              <w:top w:type="dxa" w:w="80"/>
              <w:left w:type="dxa" w:w="100"/>
              <w:bottom w:type="dxa" w:w="80"/>
              <w:right w:type="dxa" w:w="100"/>
            </w:tcMar>
          </w:tcPr>
          <w:p>
            <w:r>
              <w:rPr>
                <w:b/>
                <w:bCs/>
                <w:color w:val="FFFFFF"/>
              </w:rPr>
              <w:t xml:space="preserve">Nombre técnico</w:t>
            </w:r>
          </w:p>
        </w:tc>
        <w:tc>
          <w:tcPr>
            <w:tcW w:type="dxa" w:w="4000"/>
            <w:shd w:fill="1F3864" w:color="auto" w:val="clear"/>
            <w:tcMar>
              <w:top w:type="dxa" w:w="80"/>
              <w:left w:type="dxa" w:w="100"/>
              <w:bottom w:type="dxa" w:w="80"/>
              <w:right w:type="dxa" w:w="100"/>
            </w:tcMar>
          </w:tcPr>
          <w:p>
            <w:r>
              <w:rPr>
                <w:b/>
                <w:bCs/>
                <w:color w:val="FFFFFF"/>
              </w:rPr>
              <w:t xml:space="preserve">Para qué sirve</w:t>
            </w:r>
          </w:p>
        </w:tc>
      </w:tr>
      <w:tr>
        <w:tc>
          <w:tcPr>
            <w:tcW w:type="dxa" w:w="2600"/>
            <w:shd w:fill="FFFFFF" w:color="auto" w:val="clear"/>
            <w:tcMar>
              <w:top w:type="dxa" w:w="80"/>
              <w:left w:type="dxa" w:w="100"/>
              <w:bottom w:type="dxa" w:w="80"/>
              <w:right w:type="dxa" w:w="100"/>
            </w:tcMar>
          </w:tcPr>
          <w:p>
            <w:r>
              <w:rPr>
                <w:b w:val="false"/>
                <w:bCs w:val="false"/>
              </w:rPr>
              <w:t xml:space="preserve">Perú - Contabilidad</w:t>
            </w:r>
          </w:p>
        </w:tc>
        <w:tc>
          <w:tcPr>
            <w:tcW w:type="dxa" w:w="1800"/>
            <w:shd w:fill="FFFFFF" w:color="auto" w:val="clear"/>
            <w:tcMar>
              <w:top w:type="dxa" w:w="80"/>
              <w:left w:type="dxa" w:w="100"/>
              <w:bottom w:type="dxa" w:w="80"/>
              <w:right w:type="dxa" w:w="100"/>
            </w:tcMar>
          </w:tcPr>
          <w:p>
            <w:r>
              <w:rPr>
                <w:b w:val="false"/>
                <w:bCs w:val="false"/>
              </w:rPr>
              <w:t xml:space="preserve">l10n_pe</w:t>
            </w:r>
          </w:p>
        </w:tc>
        <w:tc>
          <w:tcPr>
            <w:tcW w:type="dxa" w:w="4000"/>
            <w:shd w:fill="FFFFFF" w:color="auto" w:val="clear"/>
            <w:tcMar>
              <w:top w:type="dxa" w:w="80"/>
              <w:left w:type="dxa" w:w="100"/>
              <w:bottom w:type="dxa" w:w="80"/>
              <w:right w:type="dxa" w:w="100"/>
            </w:tcMar>
          </w:tcPr>
          <w:p>
            <w:r>
              <w:rPr>
                <w:b w:val="false"/>
                <w:bCs w:val="false"/>
              </w:rPr>
              <w:t xml:space="preserve">Base obligatoria: plan de cuentas PCGE, impuestos, tipos de documento.</w:t>
            </w:r>
          </w:p>
        </w:tc>
      </w:tr>
      <w:tr>
        <w:tc>
          <w:tcPr>
            <w:tcW w:type="dxa" w:w="2600"/>
            <w:shd w:fill="F2F2F2" w:color="auto" w:val="clear"/>
            <w:tcMar>
              <w:top w:type="dxa" w:w="80"/>
              <w:left w:type="dxa" w:w="100"/>
              <w:bottom w:type="dxa" w:w="80"/>
              <w:right w:type="dxa" w:w="100"/>
            </w:tcMar>
          </w:tcPr>
          <w:p>
            <w:r>
              <w:rPr>
                <w:b w:val="false"/>
                <w:bCs w:val="false"/>
              </w:rPr>
              <w:t xml:space="preserve">Perú - Facturación electrónica</w:t>
            </w:r>
          </w:p>
        </w:tc>
        <w:tc>
          <w:tcPr>
            <w:tcW w:type="dxa" w:w="1800"/>
            <w:shd w:fill="F2F2F2" w:color="auto" w:val="clear"/>
            <w:tcMar>
              <w:top w:type="dxa" w:w="80"/>
              <w:left w:type="dxa" w:w="100"/>
              <w:bottom w:type="dxa" w:w="80"/>
              <w:right w:type="dxa" w:w="100"/>
            </w:tcMar>
          </w:tcPr>
          <w:p>
            <w:r>
              <w:rPr>
                <w:b w:val="false"/>
                <w:bCs w:val="false"/>
              </w:rPr>
              <w:t xml:space="preserve">l10n_pe_edi</w:t>
            </w:r>
          </w:p>
        </w:tc>
        <w:tc>
          <w:tcPr>
            <w:tcW w:type="dxa" w:w="4000"/>
            <w:shd w:fill="F2F2F2" w:color="auto" w:val="clear"/>
            <w:tcMar>
              <w:top w:type="dxa" w:w="80"/>
              <w:left w:type="dxa" w:w="100"/>
              <w:bottom w:type="dxa" w:w="80"/>
              <w:right w:type="dxa" w:w="100"/>
            </w:tcMar>
          </w:tcPr>
          <w:p>
            <w:r>
              <w:rPr>
                <w:b w:val="false"/>
                <w:bCs w:val="false"/>
              </w:rPr>
              <w:t xml:space="preserve">Emisión y recepción de comprobantes electrónicos según SUNAT.</w:t>
            </w:r>
          </w:p>
        </w:tc>
      </w:tr>
      <w:tr>
        <w:tc>
          <w:tcPr>
            <w:tcW w:type="dxa" w:w="2600"/>
            <w:shd w:fill="FFFFFF" w:color="auto" w:val="clear"/>
            <w:tcMar>
              <w:top w:type="dxa" w:w="80"/>
              <w:left w:type="dxa" w:w="100"/>
              <w:bottom w:type="dxa" w:w="80"/>
              <w:right w:type="dxa" w:w="100"/>
            </w:tcMar>
          </w:tcPr>
          <w:p>
            <w:r>
              <w:rPr>
                <w:b w:val="false"/>
                <w:bCs w:val="false"/>
              </w:rPr>
              <w:t xml:space="preserve">Perú - Reportes contables</w:t>
            </w:r>
          </w:p>
        </w:tc>
        <w:tc>
          <w:tcPr>
            <w:tcW w:type="dxa" w:w="1800"/>
            <w:shd w:fill="FFFFFF" w:color="auto" w:val="clear"/>
            <w:tcMar>
              <w:top w:type="dxa" w:w="80"/>
              <w:left w:type="dxa" w:w="100"/>
              <w:bottom w:type="dxa" w:w="80"/>
              <w:right w:type="dxa" w:w="100"/>
            </w:tcMar>
          </w:tcPr>
          <w:p>
            <w:r>
              <w:rPr>
                <w:b w:val="false"/>
                <w:bCs w:val="false"/>
              </w:rPr>
              <w:t xml:space="preserve">l10n_pe_reports</w:t>
            </w:r>
          </w:p>
        </w:tc>
        <w:tc>
          <w:tcPr>
            <w:tcW w:type="dxa" w:w="4000"/>
            <w:shd w:fill="FFFFFF" w:color="auto" w:val="clear"/>
            <w:tcMar>
              <w:top w:type="dxa" w:w="80"/>
              <w:left w:type="dxa" w:w="100"/>
              <w:bottom w:type="dxa" w:w="80"/>
              <w:right w:type="dxa" w:w="100"/>
            </w:tcMar>
          </w:tcPr>
          <w:p>
            <w:r>
              <w:rPr>
                <w:b w:val="false"/>
                <w:bCs w:val="false"/>
              </w:rPr>
              <w:t xml:space="preserve">Reportes RVIE, RCE y libros PLE (Diario, Mayor, Caja, Bancos).</w:t>
            </w:r>
          </w:p>
        </w:tc>
      </w:tr>
      <w:tr>
        <w:tc>
          <w:tcPr>
            <w:tcW w:type="dxa" w:w="2600"/>
            <w:shd w:fill="F2F2F2" w:color="auto" w:val="clear"/>
            <w:tcMar>
              <w:top w:type="dxa" w:w="80"/>
              <w:left w:type="dxa" w:w="100"/>
              <w:bottom w:type="dxa" w:w="80"/>
              <w:right w:type="dxa" w:w="100"/>
            </w:tcMar>
          </w:tcPr>
          <w:p>
            <w:r>
              <w:rPr>
                <w:b w:val="false"/>
                <w:bCs w:val="false"/>
              </w:rPr>
              <w:t xml:space="preserve">Perú - Guía de remisión electrónica</w:t>
            </w:r>
          </w:p>
        </w:tc>
        <w:tc>
          <w:tcPr>
            <w:tcW w:type="dxa" w:w="1800"/>
            <w:shd w:fill="F2F2F2" w:color="auto" w:val="clear"/>
            <w:tcMar>
              <w:top w:type="dxa" w:w="80"/>
              <w:left w:type="dxa" w:w="100"/>
              <w:bottom w:type="dxa" w:w="80"/>
              <w:right w:type="dxa" w:w="100"/>
            </w:tcMar>
          </w:tcPr>
          <w:p>
            <w:r>
              <w:rPr>
                <w:b w:val="false"/>
                <w:bCs w:val="false"/>
              </w:rPr>
              <w:t xml:space="preserve">l10n_pe_edi_stock</w:t>
            </w:r>
          </w:p>
        </w:tc>
        <w:tc>
          <w:tcPr>
            <w:tcW w:type="dxa" w:w="4000"/>
            <w:shd w:fill="F2F2F2" w:color="auto" w:val="clear"/>
            <w:tcMar>
              <w:top w:type="dxa" w:w="80"/>
              <w:left w:type="dxa" w:w="100"/>
              <w:bottom w:type="dxa" w:w="80"/>
              <w:right w:type="dxa" w:w="100"/>
            </w:tcMar>
          </w:tcPr>
          <w:p>
            <w:r>
              <w:rPr>
                <w:b w:val="false"/>
                <w:bCs w:val="false"/>
              </w:rPr>
              <w:t xml:space="preserve">Guías de remisión al mover mercadería entre almacenes. Requiere la app Inventario.</w:t>
            </w:r>
          </w:p>
        </w:tc>
      </w:tr>
      <w:tr>
        <w:tc>
          <w:tcPr>
            <w:tcW w:type="dxa" w:w="2600"/>
            <w:shd w:fill="FFFFFF" w:color="auto" w:val="clear"/>
            <w:tcMar>
              <w:top w:type="dxa" w:w="80"/>
              <w:left w:type="dxa" w:w="100"/>
              <w:bottom w:type="dxa" w:w="80"/>
              <w:right w:type="dxa" w:w="100"/>
            </w:tcMar>
          </w:tcPr>
          <w:p>
            <w:r>
              <w:rPr>
                <w:b w:val="false"/>
                <w:bCs w:val="false"/>
              </w:rPr>
              <w:t xml:space="preserve">Perú - Reportes de existencias</w:t>
            </w:r>
          </w:p>
        </w:tc>
        <w:tc>
          <w:tcPr>
            <w:tcW w:type="dxa" w:w="1800"/>
            <w:shd w:fill="FFFFFF" w:color="auto" w:val="clear"/>
            <w:tcMar>
              <w:top w:type="dxa" w:w="80"/>
              <w:left w:type="dxa" w:w="100"/>
              <w:bottom w:type="dxa" w:w="80"/>
              <w:right w:type="dxa" w:w="100"/>
            </w:tcMar>
          </w:tcPr>
          <w:p>
            <w:r>
              <w:rPr>
                <w:b w:val="false"/>
                <w:bCs w:val="false"/>
              </w:rPr>
              <w:t xml:space="preserve">l10n_pe_reports_stock</w:t>
            </w:r>
          </w:p>
        </w:tc>
        <w:tc>
          <w:tcPr>
            <w:tcW w:type="dxa" w:w="4000"/>
            <w:shd w:fill="FFFFFF" w:color="auto" w:val="clear"/>
            <w:tcMar>
              <w:top w:type="dxa" w:w="80"/>
              <w:left w:type="dxa" w:w="100"/>
              <w:bottom w:type="dxa" w:w="80"/>
              <w:right w:type="dxa" w:w="100"/>
            </w:tcMar>
          </w:tcPr>
          <w:p>
            <w:r>
              <w:rPr>
                <w:b w:val="false"/>
                <w:bCs w:val="false"/>
              </w:rPr>
              <w:t xml:space="preserve">Kardex PLE 12.1 y 13.1 (inventario permanente).</w:t>
            </w:r>
          </w:p>
        </w:tc>
      </w:tr>
    </w:tbl>
    <w:p>
      <w:pPr>
        <w:spacing w:after="200"/>
      </w:pPr>
    </w:p>
    <w:p>
      <w:pPr>
        <w:pBdr>
          <w:left w:val="single" w:color="B08D57" w:sz="18" w:space="8"/>
        </w:pBdr>
        <w:spacing w:after="160" w:before="80"/>
        <w:ind w:left="200"/>
      </w:pPr>
      <w:r>
        <w:rPr>
          <w:b/>
          <w:bCs/>
          <w:color w:val="1F3864"/>
        </w:rPr>
        <w:t xml:space="preserve">Nota: </w:t>
      </w:r>
      <w:r>
        <w:t xml:space="preserve">Para el arranque de este manual solo son indispensables l10n_pe y l10n_pe_edi. Los módulos de guía de remisión y reportes de stock se documentan pero se implementan en una fase posterior, cuando el flujo de inventario esté maduro.</w:t>
      </w:r>
    </w:p>
    <w:p>
      <w:pPr>
        <w:pStyle w:val="Heading2"/>
        <w:spacing w:after="120" w:before="260"/>
      </w:pPr>
      <w:r>
        <w:t xml:space="preserve">4.2 Configurar cada compañía</w:t>
      </w:r>
    </w:p>
    <w:p>
      <w:pPr>
        <w:spacing w:after="160"/>
      </w:pPr>
      <w:r>
        <w:t xml:space="preserve">Por cada compañía (Efficax ahora; la identidad del RUC personal en cuanto se decida activarla), ir a Ajustes → Compañías → abrir la ficha y completar:</w:t>
      </w:r>
    </w:p>
    <w:p>
      <w:pPr>
        <w:pStyle w:val="ListParagraph"/>
        <w:numPr>
          <w:ilvl w:val="0"/>
          <w:numId w:val="1"/>
        </w:numPr>
        <w:spacing w:after="80"/>
      </w:pPr>
      <w:r>
        <w:t xml:space="preserve">País: Perú (obligatorio para que la factura electrónica funcione).</w:t>
      </w:r>
    </w:p>
    <w:p>
      <w:pPr>
        <w:pStyle w:val="ListParagraph"/>
        <w:numPr>
          <w:ilvl w:val="0"/>
          <w:numId w:val="1"/>
        </w:numPr>
        <w:spacing w:after="80"/>
      </w:pPr>
      <w:r>
        <w:t xml:space="preserve">NIF: el RUC en formato SUNAT (11 dígitos).</w:t>
      </w:r>
    </w:p>
    <w:p>
      <w:pPr>
        <w:pStyle w:val="ListParagraph"/>
        <w:numPr>
          <w:ilvl w:val="0"/>
          <w:numId w:val="1"/>
        </w:numPr>
        <w:spacing w:after="80"/>
      </w:pPr>
      <w:r>
        <w:t xml:space="preserve">Código de tipo de establecimiment o: el que asignó SUNAT al inscribir el RUC. Si se desconoce, se puede usar 0000 como valor por defecto, con el riesgo de que la validación de SUNAT falle si es incorrecto.</w:t>
      </w:r>
    </w:p>
    <w:p>
      <w:pPr>
        <w:pBdr>
          <w:left w:val="single" w:color="B08D57" w:sz="18" w:space="8"/>
        </w:pBdr>
        <w:spacing w:after="160" w:before="80"/>
        <w:ind w:left="200"/>
      </w:pPr>
      <w:r>
        <w:rPr>
          <w:b/>
          <w:bCs/>
          <w:color w:val="1F3864"/>
        </w:rPr>
        <w:t xml:space="preserve">Nota: </w:t>
      </w:r>
      <w:r>
        <w:t xml:space="preserve">Para la vía del RUC personal de Alberto, esta ficha de compañía se configura con SUS datos (NIF 10095397757, razón social “Juan Alberto Ruiz Díaz”), no con el nombre comercial Haskell — es una limitación del propio diseño de SUNAT: el comprobante electrónico sale a nombre del titular del RUC que factura.</w:t>
      </w:r>
    </w:p>
    <w:p>
      <w:pPr>
        <w:pStyle w:val="Heading2"/>
        <w:spacing w:after="120" w:before="260"/>
      </w:pPr>
      <w:r>
        <w:t xml:space="preserve">4.3 Plan de cuentas (PCGE)</w:t>
      </w:r>
    </w:p>
    <w:p>
      <w:pPr>
        <w:spacing w:after="160"/>
      </w:pPr>
      <w:r>
        <w:t xml:space="preserve">El plan de cuentas peruano (PCGE) se instala automáticamente con el módulo base y ya viene mapeado a impuestos y cuentas por cobrar/pagar por defecto — no requiere configuración manual salvo revisar que las cuentas de producto (ingreso, costo, existencias) queden bien asignadas en cada línea de producto.</w:t>
      </w:r>
    </w:p>
    <w:p>
      <w:pPr>
        <w:pStyle w:val="Heading2"/>
        <w:spacing w:after="120" w:before="260"/>
      </w:pPr>
      <w:r>
        <w:t xml:space="preserve">4.4 Proveedor de firma electrónica (IAP de Odoo)</w:t>
      </w:r>
    </w:p>
    <w:p>
      <w:pPr>
        <w:spacing w:after="160"/>
      </w:pPr>
      <w:r>
        <w:t xml:space="preserve">Ir a Contabilidad → Configuración → Ajustes → sección “Localización Peruana” → campo Proveedor de firma (Signature Provider): seleccionar IAP.</w:t>
      </w:r>
    </w:p>
    <w:p>
      <w:pPr>
        <w:spacing w:after="160"/>
      </w:pPr>
      <w:r>
        <w:t xml:space="preserve">Cómo funciona el IAP:</w:t>
      </w:r>
    </w:p>
    <w:p>
      <w:pPr>
        <w:pStyle w:val="ListParagraph"/>
        <w:numPr>
          <w:ilvl w:val="0"/>
          <w:numId w:val="1"/>
        </w:numPr>
        <w:spacing w:after="80"/>
      </w:pPr>
      <w:r>
        <w:t xml:space="preserve">Incluye el certificado digital — no hace falta comprarlo aparte.</w:t>
      </w:r>
    </w:p>
    <w:p>
      <w:pPr>
        <w:pStyle w:val="ListParagraph"/>
        <w:numPr>
          <w:ilvl w:val="0"/>
          <w:numId w:val="1"/>
        </w:numPr>
        <w:spacing w:after="80"/>
      </w:pPr>
      <w:r>
        <w:t xml:space="preserve">Envía el documento al OSE (Digiflow) y recibe la validación (CDR) de SUNAT automáticamente.</w:t>
      </w:r>
    </w:p>
    <w:p>
      <w:pPr>
        <w:pStyle w:val="ListParagraph"/>
        <w:numPr>
          <w:ilvl w:val="0"/>
          <w:numId w:val="1"/>
        </w:numPr>
        <w:spacing w:after="80"/>
      </w:pPr>
      <w:r>
        <w:t xml:space="preserve">Se paga por créditos: 1000 gratis en bases de datos nuevas; luego, paquetes de pago (aprox. 1000 créditos = 22 €). Se consume 1 crédito por documento enviado — y 1 crédito adicional si hay que reenviarlo por un error de validación.</w:t>
      </w:r>
    </w:p>
    <w:p>
      <w:pPr>
        <w:pStyle w:val="ListParagraph"/>
        <w:numPr>
          <w:ilvl w:val="0"/>
          <w:numId w:val="1"/>
        </w:numPr>
        <w:spacing w:after="80"/>
      </w:pPr>
      <w:r>
        <w:t xml:space="preserve">Requisito administrativo único: afiliar a Digiflow como el OSE oficial de la compañía en el portal de SUNAT (trámite simple, con guía oficial de Odoo).</w:t>
      </w:r>
    </w:p>
    <w:p>
      <w:pPr>
        <w:pBdr>
          <w:left w:val="single" w:color="B08D57" w:sz="18" w:space="8"/>
        </w:pBdr>
        <w:spacing w:after="160" w:before="80"/>
        <w:ind w:left="200"/>
      </w:pPr>
      <w:r>
        <w:rPr>
          <w:b/>
          <w:bCs/>
          <w:color w:val="1F3864"/>
        </w:rPr>
        <w:t xml:space="preserve">Nota: </w:t>
      </w:r>
      <w:r>
        <w:t xml:space="preserve">Acción pendiente inmediata: verificar en Odoo (Efficax) si este campo ya está en IAP o en otra opción — pídelo revisar directamente en Contabilidad → Configuración → Ajustes → Localización Peruana, o pide a Claude de VSC que lo confirme vía API.</w:t>
      </w:r>
    </w:p>
    <w:p>
      <w:pPr>
        <w:pStyle w:val="Heading2"/>
        <w:spacing w:after="120" w:before="260"/>
      </w:pPr>
      <w:r>
        <w:t xml:space="preserve">4.5 Ambiente de pruebas</w:t>
      </w:r>
    </w:p>
    <w:p>
      <w:pPr>
        <w:spacing w:after="160"/>
      </w:pPr>
      <w:r>
        <w:t xml:space="preserve">Odoo permite activar un ambiente de pruebas antes de pasar a producción. Con el proveedor IAP en modo prueba, no se consumen créditos reales — todos los documentos se validan automáticamente. Por defecto las bases nuevas quedan en producción, así que conviene activar el modo prueba manualmente para el primer comprobante de cada compañía nueva.</w:t>
      </w:r>
    </w:p>
    <w:p>
      <w:pPr>
        <w:pStyle w:val="Heading2"/>
        <w:spacing w:after="120" w:before="260"/>
      </w:pPr>
      <w:r>
        <w:t xml:space="preserve">4.6 Datos maestros</w:t>
      </w:r>
    </w:p>
    <w:p>
      <w:pPr>
        <w:pStyle w:val="Heading3"/>
        <w:spacing w:after="100" w:before="200"/>
      </w:pPr>
      <w:r>
        <w:t xml:space="preserve">Impuestos y posiciones fiscales</w:t>
      </w:r>
    </w:p>
    <w:p>
      <w:pPr>
        <w:spacing w:after="160"/>
      </w:pPr>
      <w:r>
        <w:t xml:space="preserve">Se crean automáticamente con la localización, ya vinculados a su cuenta contable y a su “motivo de afectación EDI” (el código SUNAT que indica el alcance del impuesto). Las dos posiciones fiscales por defecto son “Local Perú” (clientes locales) y “Extranjero - Exportación”.</w:t>
      </w:r>
    </w:p>
    <w:p>
      <w:pPr>
        <w:pStyle w:val="Heading3"/>
        <w:spacing w:after="100" w:before="200"/>
      </w:pPr>
      <w:r>
        <w:t xml:space="preserve">Tipos de documento</w:t>
      </w:r>
    </w:p>
    <w:p>
      <w:pPr>
        <w:spacing w:after="160"/>
      </w:pPr>
      <w:r>
        <w:t xml:space="preserve">Los comprobantes hoy soportados en Odoo para clientes son: Factura, Boleta, Nota de Crédito y Nota de Débito. Se crean automáticamente al instalar la localización.</w:t>
      </w:r>
    </w:p>
    <w:p>
      <w:pPr>
        <w:pStyle w:val="Heading3"/>
        <w:spacing w:after="100" w:before="200"/>
      </w:pPr>
      <w:r>
        <w:t xml:space="preserve">Diarios de venta</w:t>
      </w:r>
    </w:p>
    <w:p>
      <w:pPr>
        <w:spacing w:after="160"/>
      </w:pPr>
      <w:r>
        <w:t xml:space="preserve">Al crear el diario de ventas, marcar “Usar documentos” (por defecto activo) y en Intercambio de Datos Electrónicos seleccionar “Peru UBL 2.1”. Por defecto Odoo muestra también la opción Factur-X (Francia) — hay que desmarcarla manualmente.</w:t>
      </w:r>
    </w:p>
    <w:p>
      <w:pPr>
        <w:pStyle w:val="Heading3"/>
        <w:spacing w:after="100" w:before="200"/>
      </w:pPr>
      <w:r>
        <w:t xml:space="preserve">Contactos (clientes/asesores)</w:t>
      </w:r>
    </w:p>
    <w:p>
      <w:pPr>
        <w:spacing w:after="160"/>
      </w:pPr>
      <w:r>
        <w:t xml:space="preserve">Cada contacto debe tener su Tipo de identificación (DNI/RUC) y número completo — es obligatorio para que el comprobante electrónico se valide.</w:t>
      </w:r>
    </w:p>
    <w:p>
      <w:pPr>
        <w:pStyle w:val="Heading2"/>
        <w:spacing w:after="120" w:before="260"/>
      </w:pPr>
      <w:r>
        <w:t xml:space="preserve">4.7 Emitir comprobantes</w:t>
      </w:r>
    </w:p>
    <w:p>
      <w:pPr>
        <w:spacing w:after="160"/>
      </w:pPr>
      <w:r>
        <w:t xml:space="preserve">Al crear una factura desde el pedido o manualmente, dos campos son específicos de Perú:</w:t>
      </w:r>
    </w:p>
    <w:p>
      <w:pPr>
        <w:pStyle w:val="ListParagraph"/>
        <w:numPr>
          <w:ilvl w:val="0"/>
          <w:numId w:val="1"/>
        </w:numPr>
        <w:spacing w:after="80"/>
      </w:pPr>
      <w:r>
        <w:t xml:space="preserve">Tipo de documento: por defecto “Factura Electrónica”; se puede cambiar a Boleta cuando aplique.</w:t>
      </w:r>
    </w:p>
    <w:p>
      <w:pPr>
        <w:pStyle w:val="ListParagraph"/>
        <w:numPr>
          <w:ilvl w:val="0"/>
          <w:numId w:val="1"/>
        </w:numPr>
        <w:spacing w:after="80"/>
      </w:pPr>
      <w:r>
        <w:t xml:space="preserve">Tipo de operación: por defecto “Venta interna”; cambiar a exportación u otro cuando corresponda.</w:t>
      </w:r>
    </w:p>
    <w:p>
      <w:pPr>
        <w:spacing w:after="160"/>
      </w:pPr>
      <w:r>
        <w:t xml:space="preserve">Al validar la factura, Odoo dispara el envío a SUNAT (por defecto de forma asíncrona, con un proceso automático cada hora, o manualmente con el botón “Enviar ahora”). Estados posibles: “Por enviar” → “Enviado” (validado, con CDR descargado) o error de validación (la factura vuelve a “Por enviar” para corregir y reintentar).</w:t>
      </w:r>
    </w:p>
    <w:p>
      <w:pPr>
        <w:pBdr>
          <w:left w:val="single" w:color="B08D57" w:sz="18" w:space="8"/>
        </w:pBdr>
        <w:spacing w:after="160" w:before="80"/>
        <w:ind w:left="200"/>
      </w:pPr>
      <w:r>
        <w:rPr>
          <w:b/>
          <w:bCs/>
          <w:color w:val="1F3864"/>
        </w:rPr>
        <w:t xml:space="preserve">Nota: </w:t>
      </w:r>
      <w:r>
        <w:t xml:space="preserve">Cada reenvío por error consume un crédito IAP adicional — conviene revisar bien los datos antes del primer envío para no gastar créditos de más.</w:t>
      </w:r>
    </w:p>
    <w:p>
      <w:pPr>
        <w:pStyle w:val="Heading2"/>
        <w:spacing w:after="120" w:before="260"/>
      </w:pPr>
      <w:r>
        <w:t xml:space="preserve">4.8 Notas de crédito y débito</w:t>
      </w:r>
    </w:p>
    <w:p>
      <w:pPr>
        <w:spacing w:after="160"/>
      </w:pPr>
      <w:r>
        <w:t xml:space="preserve">Se generan desde el botón correspondiente en la factura ya validada, seleccionando un motivo de la lista que exige SUNAT. El flujo EDI es idéntico al de la factura.</w:t>
      </w:r>
    </w:p>
    <w:p>
      <w:pPr>
        <w:pStyle w:val="Heading2"/>
        <w:spacing w:after="120" w:before="260"/>
      </w:pPr>
      <w:r>
        <w:t xml:space="preserve">4.9 Libros electrónicos PLE (fase futura)</w:t>
      </w:r>
    </w:p>
    <w:p>
      <w:pPr>
        <w:spacing w:after="160"/>
      </w:pPr>
      <w:r>
        <w:t xml:space="preserve">Los libros PLE de inventario (12.1 y 13.1) se generan como archivos .txt desde el Reporte de Valoración de Inventario, con periodicidad semestral (vencimientos oficiales: 1 de octubre y 1 de abril). Requieren el módulo l10n_pe_reports_stock y configurar el “Tipo de existencia” en cada producto y el “Código de establecimiento anexo” en cada almacén. Se documenta aquí como referencia; no es urgente mientras el volumen de inventario sea bajo.</w:t>
      </w:r>
    </w:p>
    <w:p>
      <w:pPr>
        <w:pStyle w:val="Heading1"/>
        <w:spacing w:after="160" w:before="320"/>
      </w:pPr>
      <w:r>
        <w:t xml:space="preserve">5. Vía temporal — RUC personal en RER para Haskell</w:t>
      </w:r>
    </w:p>
    <w:p>
      <w:pPr>
        <w:spacing w:after="160"/>
      </w:pPr>
      <w:r>
        <w:t xml:space="preserve">Mientras el RUC de Haskell_Distribuidor y Haskell_Perú está en trámite, se propone facturar bajo el RUC personal de Alberto Ruiz Díaz (10095397757), en RER.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00"/>
              <w:bottom w:type="dxa" w:w="80"/>
              <w:right w:type="dxa" w:w="100"/>
            </w:tcMar>
          </w:tcPr>
          <w:p>
            <w:r>
              <w:rPr>
                <w:b/>
                <w:bCs/>
                <w:color w:val="FFFFFF"/>
              </w:rPr>
              <w:t xml:space="preserve">Aspecto</w:t>
            </w:r>
          </w:p>
        </w:tc>
        <w:tc>
          <w:tcPr>
            <w:tcW w:type="dxa" w:w="6000"/>
            <w:shd w:fill="1F3864" w:color="auto" w:val="clear"/>
            <w:tcMar>
              <w:top w:type="dxa" w:w="80"/>
              <w:left w:type="dxa" w:w="100"/>
              <w:bottom w:type="dxa" w:w="80"/>
              <w:right w:type="dxa" w:w="100"/>
            </w:tcMar>
          </w:tcPr>
          <w:p>
            <w:r>
              <w:rPr>
                <w:b/>
                <w:bCs/>
                <w:color w:val="FFFFFF"/>
              </w:rPr>
              <w:t xml:space="preserve">RER</w:t>
            </w:r>
          </w:p>
        </w:tc>
      </w:tr>
      <w:tr>
        <w:tc>
          <w:tcPr>
            <w:tcW w:type="dxa" w:w="3400"/>
            <w:shd w:fill="FFFFFF" w:color="auto" w:val="clear"/>
            <w:tcMar>
              <w:top w:type="dxa" w:w="80"/>
              <w:left w:type="dxa" w:w="100"/>
              <w:bottom w:type="dxa" w:w="80"/>
              <w:right w:type="dxa" w:w="100"/>
            </w:tcMar>
          </w:tcPr>
          <w:p>
            <w:r>
              <w:rPr>
                <w:b w:val="false"/>
                <w:bCs w:val="false"/>
              </w:rPr>
              <w:t xml:space="preserve">Quién puede estar</w:t>
            </w:r>
          </w:p>
        </w:tc>
        <w:tc>
          <w:tcPr>
            <w:tcW w:type="dxa" w:w="6000"/>
            <w:shd w:fill="FFFFFF" w:color="auto" w:val="clear"/>
            <w:tcMar>
              <w:top w:type="dxa" w:w="80"/>
              <w:left w:type="dxa" w:w="100"/>
              <w:bottom w:type="dxa" w:w="80"/>
              <w:right w:type="dxa" w:w="100"/>
            </w:tcMar>
          </w:tcPr>
          <w:p>
            <w:r>
              <w:rPr>
                <w:b w:val="false"/>
                <w:bCs w:val="false"/>
              </w:rPr>
              <w:t xml:space="preserve">Personas naturales con negocio y empresas</w:t>
            </w:r>
          </w:p>
        </w:tc>
      </w:tr>
      <w:tr>
        <w:tc>
          <w:tcPr>
            <w:tcW w:type="dxa" w:w="3400"/>
            <w:shd w:fill="F2F2F2" w:color="auto" w:val="clear"/>
            <w:tcMar>
              <w:top w:type="dxa" w:w="80"/>
              <w:left w:type="dxa" w:w="100"/>
              <w:bottom w:type="dxa" w:w="80"/>
              <w:right w:type="dxa" w:w="100"/>
            </w:tcMar>
          </w:tcPr>
          <w:p>
            <w:r>
              <w:rPr>
                <w:b w:val="false"/>
                <w:bCs w:val="false"/>
              </w:rPr>
              <w:t xml:space="preserve">Ventas máximas al año</w:t>
            </w:r>
          </w:p>
        </w:tc>
        <w:tc>
          <w:tcPr>
            <w:tcW w:type="dxa" w:w="6000"/>
            <w:shd w:fill="F2F2F2" w:color="auto" w:val="clear"/>
            <w:tcMar>
              <w:top w:type="dxa" w:w="80"/>
              <w:left w:type="dxa" w:w="100"/>
              <w:bottom w:type="dxa" w:w="80"/>
              <w:right w:type="dxa" w:w="100"/>
            </w:tcMar>
          </w:tcPr>
          <w:p>
            <w:r>
              <w:rPr>
                <w:b w:val="false"/>
                <w:bCs w:val="false"/>
              </w:rPr>
              <w:t xml:space="preserve">S/ 525,000</w:t>
            </w:r>
          </w:p>
        </w:tc>
      </w:tr>
      <w:tr>
        <w:tc>
          <w:tcPr>
            <w:tcW w:type="dxa" w:w="3400"/>
            <w:shd w:fill="FFFFFF" w:color="auto" w:val="clear"/>
            <w:tcMar>
              <w:top w:type="dxa" w:w="80"/>
              <w:left w:type="dxa" w:w="100"/>
              <w:bottom w:type="dxa" w:w="80"/>
              <w:right w:type="dxa" w:w="100"/>
            </w:tcMar>
          </w:tcPr>
          <w:p>
            <w:r>
              <w:rPr>
                <w:b w:val="false"/>
                <w:bCs w:val="false"/>
              </w:rPr>
              <w:t xml:space="preserve">Facturas</w:t>
            </w:r>
          </w:p>
        </w:tc>
        <w:tc>
          <w:tcPr>
            <w:tcW w:type="dxa" w:w="6000"/>
            <w:shd w:fill="FFFFFF" w:color="auto" w:val="clear"/>
            <w:tcMar>
              <w:top w:type="dxa" w:w="80"/>
              <w:left w:type="dxa" w:w="100"/>
              <w:bottom w:type="dxa" w:w="80"/>
              <w:right w:type="dxa" w:w="100"/>
            </w:tcMar>
          </w:tcPr>
          <w:p>
            <w:r>
              <w:rPr>
                <w:b w:val="false"/>
                <w:bCs w:val="false"/>
              </w:rPr>
              <w:t xml:space="preserve">Sí</w:t>
            </w:r>
          </w:p>
        </w:tc>
      </w:tr>
      <w:tr>
        <w:tc>
          <w:tcPr>
            <w:tcW w:type="dxa" w:w="3400"/>
            <w:shd w:fill="F2F2F2" w:color="auto" w:val="clear"/>
            <w:tcMar>
              <w:top w:type="dxa" w:w="80"/>
              <w:left w:type="dxa" w:w="100"/>
              <w:bottom w:type="dxa" w:w="80"/>
              <w:right w:type="dxa" w:w="100"/>
            </w:tcMar>
          </w:tcPr>
          <w:p>
            <w:r>
              <w:rPr>
                <w:b w:val="false"/>
                <w:bCs w:val="false"/>
              </w:rPr>
              <w:t xml:space="preserve">Boletas</w:t>
            </w:r>
          </w:p>
        </w:tc>
        <w:tc>
          <w:tcPr>
            <w:tcW w:type="dxa" w:w="6000"/>
            <w:shd w:fill="F2F2F2" w:color="auto" w:val="clear"/>
            <w:tcMar>
              <w:top w:type="dxa" w:w="80"/>
              <w:left w:type="dxa" w:w="100"/>
              <w:bottom w:type="dxa" w:w="80"/>
              <w:right w:type="dxa" w:w="100"/>
            </w:tcMar>
          </w:tcPr>
          <w:p>
            <w:r>
              <w:rPr>
                <w:b w:val="false"/>
                <w:bCs w:val="false"/>
              </w:rPr>
              <w:t xml:space="preserve">Sí</w:t>
            </w:r>
          </w:p>
        </w:tc>
      </w:tr>
      <w:tr>
        <w:tc>
          <w:tcPr>
            <w:tcW w:type="dxa" w:w="3400"/>
            <w:shd w:fill="FFFFFF" w:color="auto" w:val="clear"/>
            <w:tcMar>
              <w:top w:type="dxa" w:w="80"/>
              <w:left w:type="dxa" w:w="100"/>
              <w:bottom w:type="dxa" w:w="80"/>
              <w:right w:type="dxa" w:w="100"/>
            </w:tcMar>
          </w:tcPr>
          <w:p>
            <w:r>
              <w:rPr>
                <w:b w:val="false"/>
                <w:bCs w:val="false"/>
              </w:rPr>
              <w:t xml:space="preserve">IGV</w:t>
            </w:r>
          </w:p>
        </w:tc>
        <w:tc>
          <w:tcPr>
            <w:tcW w:type="dxa" w:w="6000"/>
            <w:shd w:fill="FFFFFF" w:color="auto" w:val="clear"/>
            <w:tcMar>
              <w:top w:type="dxa" w:w="80"/>
              <w:left w:type="dxa" w:w="100"/>
              <w:bottom w:type="dxa" w:w="80"/>
              <w:right w:type="dxa" w:w="100"/>
            </w:tcMar>
          </w:tcPr>
          <w:p>
            <w:r>
              <w:rPr>
                <w:b w:val="false"/>
                <w:bCs w:val="false"/>
              </w:rPr>
              <w:t xml:space="preserve">18%</w:t>
            </w:r>
          </w:p>
        </w:tc>
      </w:tr>
      <w:tr>
        <w:tc>
          <w:tcPr>
            <w:tcW w:type="dxa" w:w="3400"/>
            <w:shd w:fill="F2F2F2" w:color="auto" w:val="clear"/>
            <w:tcMar>
              <w:top w:type="dxa" w:w="80"/>
              <w:left w:type="dxa" w:w="100"/>
              <w:bottom w:type="dxa" w:w="80"/>
              <w:right w:type="dxa" w:w="100"/>
            </w:tcMar>
          </w:tcPr>
          <w:p>
            <w:r>
              <w:rPr>
                <w:b w:val="false"/>
                <w:bCs w:val="false"/>
              </w:rPr>
              <w:t xml:space="preserve">Impuesto a la renta</w:t>
            </w:r>
          </w:p>
        </w:tc>
        <w:tc>
          <w:tcPr>
            <w:tcW w:type="dxa" w:w="6000"/>
            <w:shd w:fill="F2F2F2" w:color="auto" w:val="clear"/>
            <w:tcMar>
              <w:top w:type="dxa" w:w="80"/>
              <w:left w:type="dxa" w:w="100"/>
              <w:bottom w:type="dxa" w:w="80"/>
              <w:right w:type="dxa" w:w="100"/>
            </w:tcMar>
          </w:tcPr>
          <w:p>
            <w:r>
              <w:rPr>
                <w:b w:val="false"/>
                <w:bCs w:val="false"/>
              </w:rPr>
              <w:t xml:space="preserve">1.5% de las ventas netas (comercio e industria)</w:t>
            </w:r>
          </w:p>
        </w:tc>
      </w:tr>
      <w:tr>
        <w:tc>
          <w:tcPr>
            <w:tcW w:type="dxa" w:w="3400"/>
            <w:shd w:fill="FFFFFF" w:color="auto" w:val="clear"/>
            <w:tcMar>
              <w:top w:type="dxa" w:w="80"/>
              <w:left w:type="dxa" w:w="100"/>
              <w:bottom w:type="dxa" w:w="80"/>
              <w:right w:type="dxa" w:w="100"/>
            </w:tcMar>
          </w:tcPr>
          <w:p>
            <w:r>
              <w:rPr>
                <w:b w:val="false"/>
                <w:bCs w:val="false"/>
              </w:rPr>
              <w:t xml:space="preserve">Declaración</w:t>
            </w:r>
          </w:p>
        </w:tc>
        <w:tc>
          <w:tcPr>
            <w:tcW w:type="dxa" w:w="6000"/>
            <w:shd w:fill="FFFFFF" w:color="auto" w:val="clear"/>
            <w:tcMar>
              <w:top w:type="dxa" w:w="80"/>
              <w:left w:type="dxa" w:w="100"/>
              <w:bottom w:type="dxa" w:w="80"/>
              <w:right w:type="dxa" w:w="100"/>
            </w:tcMar>
          </w:tcPr>
          <w:p>
            <w:r>
              <w:rPr>
                <w:b w:val="false"/>
                <w:bCs w:val="false"/>
              </w:rPr>
              <w:t xml:space="preserve">Mensual; no hay declaración anual en términos generales</w:t>
            </w:r>
          </w:p>
        </w:tc>
      </w:tr>
    </w:tbl>
    <w:p>
      <w:pPr>
        <w:spacing w:after="200"/>
      </w:pPr>
    </w:p>
    <w:p>
      <w:pPr>
        <w:spacing w:after="160"/>
      </w:pPr>
      <w:r>
        <w:t xml:space="preserve">Diferencia clave con el Nuevo RUS (régimen que Alberto mencionó inicialmente): en RUS solo se pueden emitir boletas, nunca facturas, y hay un tope mensual de ventas de S/ 8,000. El RER no tiene tope mensual (sí uno anual, S/ 525,000) y sí permite emitir facturas — por eso es la vía viable si Haskell necesita facturar a clientes que exigen factura (por ejemplo, Salones de Belleza que luego usan el crédito fiscal del IGV).</w:t>
      </w:r>
    </w:p>
    <w:p>
      <w:pPr>
        <w:pBdr>
          <w:left w:val="single" w:color="B08D57" w:sz="18" w:space="8"/>
        </w:pBdr>
        <w:spacing w:after="160" w:before="80"/>
        <w:ind w:left="200"/>
      </w:pPr>
      <w:r>
        <w:rPr>
          <w:b/>
          <w:bCs/>
          <w:color w:val="1F3864"/>
        </w:rPr>
        <w:t xml:space="preserve">Advertencia: </w:t>
      </w:r>
      <w:r>
        <w:t xml:space="preserve">El Impuesto a la Renta en RER se paga sobre el total de ventas, no sobre la utilidad — un mes de mucha venta y poco margen igual genera el pago completo del 1.5%. Esto afecta el flujo de caja personal de Alberto y debe planificarse con su contador.</w:t>
      </w:r>
    </w:p>
    <w:p>
      <w:pPr>
        <w:spacing w:after="160"/>
      </w:pPr>
      <w:r>
        <w:t xml:space="preserve">Configuración en Odoo: se crea una cuarta “compañía” (o se usa un diario/serie separada dentro de una existente, a definir con el contador) con NIF 10095397757 y razón social “Juan Alberto Ruiz Díaz”, replicando los pasos de la sección 4 (proveedor de firma IAP, diario de ventas con EDI Perú UBL 2.1, series de factura y boleta propias). Los pedidos de Haskell que deban facturarse mientras no hay RUC propio se emiten bajo esta identidad, dejando registro contable claro para reclasificar cuando el RUC de Haskell esté listo.</w:t>
      </w:r>
    </w:p>
    <w:p>
      <w:pPr>
        <w:pStyle w:val="Heading1"/>
        <w:spacing w:after="160" w:before="320"/>
      </w:pPr>
      <w:r>
        <w:t xml:space="preserve">6. Módulo Créditos — Línea de crédito por asesor</w:t>
      </w:r>
    </w:p>
    <w:p>
      <w:pPr>
        <w:spacing w:after="160"/>
      </w:pPr>
      <w:r>
        <w:t xml:space="preserve">Nativo de Odoo, sin desarrollo adicional. No depende de tener facturación electrónica activa — se puede implementar de inmediato en las tres compañías.</w:t>
      </w:r>
    </w:p>
    <w:p>
      <w:pPr>
        <w:pStyle w:val="Heading2"/>
        <w:spacing w:after="120" w:before="260"/>
      </w:pPr>
      <w:r>
        <w:t xml:space="preserve">6.1 Activar el límite de crédito</w:t>
      </w:r>
    </w:p>
    <w:p>
      <w:pPr>
        <w:pStyle w:val="ListParagraph"/>
        <w:numPr>
          <w:ilvl w:val="0"/>
          <w:numId w:val="2"/>
        </w:numPr>
        <w:spacing w:after="80"/>
      </w:pPr>
      <w:r>
        <w:t xml:space="preserve">Contabilidad → Configuración → Ajustes → sección Facturas de cliente.</w:t>
      </w:r>
    </w:p>
    <w:p>
      <w:pPr>
        <w:pStyle w:val="ListParagraph"/>
        <w:numPr>
          <w:ilvl w:val="0"/>
          <w:numId w:val="2"/>
        </w:numPr>
        <w:spacing w:after="80"/>
      </w:pPr>
      <w:r>
        <w:t xml:space="preserve">Activar la opción “Límite de crédito de ventas” (Sales Credit Limit).</w:t>
      </w:r>
    </w:p>
    <w:p>
      <w:pPr>
        <w:pStyle w:val="ListParagraph"/>
        <w:numPr>
          <w:ilvl w:val="0"/>
          <w:numId w:val="2"/>
        </w:numPr>
        <w:spacing w:after="80"/>
      </w:pPr>
      <w:r>
        <w:t xml:space="preserve">Definir el límite por defecto que aplica a todo cliente/asesor que no tenga uno propio configurado.</w:t>
      </w:r>
    </w:p>
    <w:p>
      <w:pPr>
        <w:pStyle w:val="Heading2"/>
        <w:spacing w:after="120" w:before="260"/>
      </w:pPr>
      <w:r>
        <w:t xml:space="preserve">6.2 Definir el límite por asesor</w:t>
      </w:r>
    </w:p>
    <w:p>
      <w:pPr>
        <w:pStyle w:val="ListParagraph"/>
        <w:numPr>
          <w:ilvl w:val="0"/>
          <w:numId w:val="2"/>
        </w:numPr>
        <w:spacing w:after="80"/>
      </w:pPr>
      <w:r>
        <w:t xml:space="preserve">Contabilidad → Clientes → abrir la ficha del asesor → pestaña Contabilidad.</w:t>
      </w:r>
    </w:p>
    <w:p>
      <w:pPr>
        <w:pStyle w:val="ListParagraph"/>
        <w:numPr>
          <w:ilvl w:val="0"/>
          <w:numId w:val="2"/>
        </w:numPr>
        <w:spacing w:after="80"/>
      </w:pPr>
      <w:r>
        <w:t xml:space="preserve">Activar “Límite del cliente” (Partner Limit) e ingresar el monto acordado con ese asesor.</w:t>
      </w:r>
    </w:p>
    <w:p>
      <w:pPr>
        <w:pStyle w:val="ListParagraph"/>
        <w:numPr>
          <w:ilvl w:val="0"/>
          <w:numId w:val="2"/>
        </w:numPr>
        <w:spacing w:after="80"/>
      </w:pPr>
      <w:r>
        <w:t xml:space="preserve">En la misma pestaña, Odoo muestra el “Total por cobrar” en tiempo real — el saldo pendiente de ese asesor.</w:t>
      </w:r>
    </w:p>
    <w:p>
      <w:pPr>
        <w:pStyle w:val="Heading2"/>
        <w:spacing w:after="120" w:before="260"/>
      </w:pPr>
      <w:r>
        <w:t xml:space="preserve">6.3 Comportamiento</w:t>
      </w:r>
    </w:p>
    <w:p>
      <w:pPr>
        <w:spacing w:after="160"/>
      </w:pPr>
      <w:r>
        <w:t xml:space="preserve">Cuando se intenta confirmar un pedido o factura de un asesor cuyo saldo pendiente supera su límite, Odoo muestra una advertencia visible en pantalla con el monto por cobrar — pero no bloquea la operación automáticamente. Queda a criterio del responsable decidir si continúa, pide un adelanto, o coordina con el asesor antes de seguir.</w:t>
      </w:r>
    </w:p>
    <w:p>
      <w:pPr>
        <w:pBdr>
          <w:left w:val="single" w:color="B08D57" w:sz="18" w:space="8"/>
        </w:pBdr>
        <w:spacing w:after="160" w:before="80"/>
        <w:ind w:left="200"/>
      </w:pPr>
      <w:r>
        <w:rPr>
          <w:b/>
          <w:bCs/>
          <w:color w:val="1F3864"/>
        </w:rPr>
        <w:t xml:space="preserve">Nota: </w:t>
      </w:r>
      <w:r>
        <w:t xml:space="preserve">Esta es información que Hasky también puede consultar y comunicar al asesor (“¿cuánta línea de crédito disponible le queda?”), tal como se definió en el diseño del agente — una vez que el widget viva en la zona logueada de la web.</w:t>
      </w:r>
    </w:p>
    <w:p>
      <w:pPr>
        <w:pStyle w:val="Heading1"/>
        <w:spacing w:after="160" w:before="320"/>
      </w:pPr>
      <w:r>
        <w:t xml:space="preserve">7. Módulo Cobranzas — Seguimiento de pagos por email</w:t>
      </w:r>
    </w:p>
    <w:p>
      <w:pPr>
        <w:spacing w:after="160"/>
      </w:pPr>
      <w:r>
        <w:t xml:space="preserve">También nativo (“Follow-up on invoices”). Antes de activarlo, conciliar todos los movimientos bancarios pendientes para no enviar recordatorios de facturas ya pagadas.</w:t>
      </w:r>
    </w:p>
    <w:p>
      <w:pPr>
        <w:pStyle w:val="Heading2"/>
        <w:spacing w:after="120" w:before="260"/>
      </w:pPr>
      <w:r>
        <w:t xml:space="preserve">7.1 Configurar los niveles de seguimiento</w:t>
      </w:r>
    </w:p>
    <w:p>
      <w:pPr>
        <w:pStyle w:val="ListParagraph"/>
        <w:numPr>
          <w:ilvl w:val="0"/>
          <w:numId w:val="2"/>
        </w:numPr>
        <w:spacing w:after="80"/>
      </w:pPr>
      <w:r>
        <w:t xml:space="preserve">Contabilidad → Configuración → Niveles de seguimiento.</w:t>
      </w:r>
    </w:p>
    <w:p>
      <w:pPr>
        <w:pStyle w:val="ListParagraph"/>
        <w:numPr>
          <w:ilvl w:val="0"/>
          <w:numId w:val="2"/>
        </w:numPr>
        <w:spacing w:after="80"/>
      </w:pPr>
      <w:r>
        <w:t xml:space="preserve">Odoo trae niveles por defecto (ej. a los 15, 30, 60 días de vencida). Editar cada uno: descripción, días, y en la pestaña Notificación marcar únicamente “Enviar email”.</w:t>
      </w:r>
    </w:p>
    <w:p>
      <w:pPr>
        <w:pStyle w:val="ListParagraph"/>
        <w:numPr>
          <w:ilvl w:val="0"/>
          <w:numId w:val="2"/>
        </w:numPr>
        <w:spacing w:after="80"/>
      </w:pPr>
      <w:r>
        <w:t xml:space="preserve">Elegir o personalizar la plantilla de email de cada nivel.</w:t>
      </w:r>
    </w:p>
    <w:p>
      <w:pPr>
        <w:pStyle w:val="ListParagraph"/>
        <w:numPr>
          <w:ilvl w:val="0"/>
          <w:numId w:val="2"/>
        </w:numPr>
        <w:spacing w:after="80"/>
      </w:pPr>
      <w:r>
        <w:t xml:space="preserve">En Opciones, activar “Automático” para que se envíe solo, y “Adjuntar facturas” para que el asesor vea el detalle.</w:t>
      </w:r>
    </w:p>
    <w:p>
      <w:pPr>
        <w:pStyle w:val="Heading2"/>
        <w:spacing w:after="120" w:before="260"/>
      </w:pPr>
      <w:r>
        <w:t xml:space="preserve">7.2 Uso diario</w:t>
      </w:r>
    </w:p>
    <w:p>
      <w:pPr>
        <w:pStyle w:val="ListParagraph"/>
        <w:numPr>
          <w:ilvl w:val="0"/>
          <w:numId w:val="1"/>
        </w:numPr>
        <w:spacing w:after="80"/>
      </w:pPr>
      <w:r>
        <w:t xml:space="preserve">Ver todas las facturas vencidas: Contabilidad → Clientes → Facturas → filtro “Vencida”.</w:t>
      </w:r>
    </w:p>
    <w:p>
      <w:pPr>
        <w:pStyle w:val="ListParagraph"/>
        <w:numPr>
          <w:ilvl w:val="0"/>
          <w:numId w:val="1"/>
        </w:numPr>
        <w:spacing w:after="80"/>
      </w:pPr>
      <w:r>
        <w:t xml:space="preserve">Ver el estado de cobranza de un asesor puntual: su ficha de cliente → pestaña Contabilidad → sección “Seguimiento de facturas”.</w:t>
      </w:r>
    </w:p>
    <w:p>
      <w:pPr>
        <w:pStyle w:val="ListParagraph"/>
        <w:numPr>
          <w:ilvl w:val="0"/>
          <w:numId w:val="1"/>
        </w:numPr>
        <w:spacing w:after="80"/>
      </w:pPr>
      <w:r>
        <w:t xml:space="preserve">Procesar cobranza de todos los pendientes a la vez: Contabilidad → Clientes → Clientes → filtrar “Requiere seguimiento” → seleccionar todos → Acciones → “Procesar seguimientos”.</w:t>
      </w:r>
    </w:p>
    <w:p>
      <w:pPr>
        <w:pStyle w:val="ListParagraph"/>
        <w:numPr>
          <w:ilvl w:val="0"/>
          <w:numId w:val="1"/>
        </w:numPr>
        <w:spacing w:after="80"/>
      </w:pPr>
      <w:r>
        <w:t xml:space="preserve">Estado de cuenta de un cliente (para enviarle un resumen completo): botón “Estado de cuenta del cliente” en su ficha.</w:t>
      </w:r>
    </w:p>
    <w:p>
      <w:pPr>
        <w:pBdr>
          <w:left w:val="single" w:color="B08D57" w:sz="18" w:space="8"/>
        </w:pBdr>
        <w:spacing w:after="160" w:before="80"/>
        <w:ind w:left="200"/>
      </w:pPr>
      <w:r>
        <w:rPr>
          <w:b/>
          <w:bCs/>
          <w:color w:val="1F3864"/>
        </w:rPr>
        <w:t xml:space="preserve">Nota: </w:t>
      </w:r>
      <w:r>
        <w:t xml:space="preserve">Con esto, el recordatorio de pago a un asesor moroso deja de depender de que alguien se acuerde de escribirle — corre solo, según los días de vencimiento configurados.</w:t>
      </w:r>
    </w:p>
    <w:p>
      <w:pPr>
        <w:pStyle w:val="Heading1"/>
        <w:spacing w:after="160" w:before="320"/>
      </w:pPr>
      <w:r>
        <w:t xml:space="preserve">8. Plan de implementación por compañía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1600"/>
        <w:gridCol w:w="1200"/>
      </w:tblGrid>
      <w:tr>
        <w:trPr>
          <w:tblHeader/>
        </w:trPr>
        <w:tc>
          <w:tcPr>
            <w:tcW w:type="dxa" w:w="2400"/>
            <w:shd w:fill="1F3864" w:color="auto" w:val="clear"/>
            <w:tcMar>
              <w:top w:type="dxa" w:w="80"/>
              <w:left w:type="dxa" w:w="100"/>
              <w:bottom w:type="dxa" w:w="80"/>
              <w:right w:type="dxa" w:w="100"/>
            </w:tcMar>
          </w:tcPr>
          <w:p>
            <w:r>
              <w:rPr>
                <w:b/>
                <w:bCs/>
                <w:color w:val="FFFFFF"/>
              </w:rPr>
              <w:t xml:space="preserve">Compañía</w:t>
            </w:r>
          </w:p>
        </w:tc>
        <w:tc>
          <w:tcPr>
            <w:tcW w:type="dxa" w:w="2200"/>
            <w:shd w:fill="1F3864" w:color="auto" w:val="clear"/>
            <w:tcMar>
              <w:top w:type="dxa" w:w="80"/>
              <w:left w:type="dxa" w:w="100"/>
              <w:bottom w:type="dxa" w:w="80"/>
              <w:right w:type="dxa" w:w="100"/>
            </w:tcMar>
          </w:tcPr>
          <w:p>
            <w:r>
              <w:rPr>
                <w:b/>
                <w:bCs/>
                <w:color w:val="FFFFFF"/>
              </w:rPr>
              <w:t xml:space="preserve">Contabilidad Perú</w:t>
            </w:r>
          </w:p>
        </w:tc>
        <w:tc>
          <w:tcPr>
            <w:tcW w:type="dxa" w:w="2400"/>
            <w:shd w:fill="1F3864" w:color="auto" w:val="clear"/>
            <w:tcMar>
              <w:top w:type="dxa" w:w="80"/>
              <w:left w:type="dxa" w:w="100"/>
              <w:bottom w:type="dxa" w:w="80"/>
              <w:right w:type="dxa" w:w="100"/>
            </w:tcMar>
          </w:tcPr>
          <w:p>
            <w:r>
              <w:rPr>
                <w:b/>
                <w:bCs/>
                <w:color w:val="FFFFFF"/>
              </w:rPr>
              <w:t xml:space="preserve">Facturación electrónica</w:t>
            </w:r>
          </w:p>
        </w:tc>
        <w:tc>
          <w:tcPr>
            <w:tcW w:type="dxa" w:w="1600"/>
            <w:shd w:fill="1F3864" w:color="auto" w:val="clear"/>
            <w:tcMar>
              <w:top w:type="dxa" w:w="80"/>
              <w:left w:type="dxa" w:w="100"/>
              <w:bottom w:type="dxa" w:w="80"/>
              <w:right w:type="dxa" w:w="100"/>
            </w:tcMar>
          </w:tcPr>
          <w:p>
            <w:r>
              <w:rPr>
                <w:b/>
                <w:bCs/>
                <w:color w:val="FFFFFF"/>
              </w:rPr>
              <w:t xml:space="preserve">Línea de crédito</w:t>
            </w:r>
          </w:p>
        </w:tc>
        <w:tc>
          <w:tcPr>
            <w:tcW w:type="dxa" w:w="1200"/>
            <w:shd w:fill="1F3864" w:color="auto" w:val="clear"/>
            <w:tcMar>
              <w:top w:type="dxa" w:w="80"/>
              <w:left w:type="dxa" w:w="100"/>
              <w:bottom w:type="dxa" w:w="80"/>
              <w:right w:type="dxa" w:w="100"/>
            </w:tcMar>
          </w:tcPr>
          <w:p>
            <w:r>
              <w:rPr>
                <w:b/>
                <w:bCs/>
                <w:color w:val="FFFFFF"/>
              </w:rPr>
              <w:t xml:space="preserve">Cobranzas</w:t>
            </w:r>
          </w:p>
        </w:tc>
      </w:tr>
      <w:tr>
        <w:tc>
          <w:tcPr>
            <w:tcW w:type="dxa" w:w="2400"/>
            <w:shd w:fill="FFFFFF" w:color="auto" w:val="clear"/>
            <w:tcMar>
              <w:top w:type="dxa" w:w="80"/>
              <w:left w:type="dxa" w:w="100"/>
              <w:bottom w:type="dxa" w:w="80"/>
              <w:right w:type="dxa" w:w="100"/>
            </w:tcMar>
          </w:tcPr>
          <w:p>
            <w:r>
              <w:rPr>
                <w:b w:val="false"/>
                <w:bCs w:val="false"/>
              </w:rPr>
              <w:t xml:space="preserve">Efficax Solutions SA</w:t>
            </w:r>
          </w:p>
        </w:tc>
        <w:tc>
          <w:tcPr>
            <w:tcW w:type="dxa" w:w="2200"/>
            <w:shd w:fill="FFFFFF" w:color="auto" w:val="clear"/>
            <w:tcMar>
              <w:top w:type="dxa" w:w="80"/>
              <w:left w:type="dxa" w:w="100"/>
              <w:bottom w:type="dxa" w:w="80"/>
              <w:right w:type="dxa" w:w="100"/>
            </w:tcMar>
          </w:tcPr>
          <w:p>
            <w:r>
              <w:rPr>
                <w:b w:val="false"/>
                <w:bCs w:val="false"/>
              </w:rPr>
              <w:t xml:space="preserve">Verificar estado actual</w:t>
            </w:r>
          </w:p>
        </w:tc>
        <w:tc>
          <w:tcPr>
            <w:tcW w:type="dxa" w:w="2400"/>
            <w:shd w:fill="FFFFFF" w:color="auto" w:val="clear"/>
            <w:tcMar>
              <w:top w:type="dxa" w:w="80"/>
              <w:left w:type="dxa" w:w="100"/>
              <w:bottom w:type="dxa" w:w="80"/>
              <w:right w:type="dxa" w:w="100"/>
            </w:tcMar>
          </w:tcPr>
          <w:p>
            <w:r>
              <w:rPr>
                <w:b w:val="false"/>
                <w:bCs w:val="false"/>
              </w:rPr>
              <w:t xml:space="preserve">Verificar proveedor de firma configurado</w:t>
            </w:r>
          </w:p>
        </w:tc>
        <w:tc>
          <w:tcPr>
            <w:tcW w:type="dxa" w:w="1600"/>
            <w:shd w:fill="FFFFFF" w:color="auto" w:val="clear"/>
            <w:tcMar>
              <w:top w:type="dxa" w:w="80"/>
              <w:left w:type="dxa" w:w="100"/>
              <w:bottom w:type="dxa" w:w="80"/>
              <w:right w:type="dxa" w:w="100"/>
            </w:tcMar>
          </w:tcPr>
          <w:p>
            <w:r>
              <w:rPr>
                <w:b w:val="false"/>
                <w:bCs w:val="false"/>
              </w:rPr>
              <w:t xml:space="preserve">Activar ahora</w:t>
            </w:r>
          </w:p>
        </w:tc>
        <w:tc>
          <w:tcPr>
            <w:tcW w:type="dxa" w:w="1200"/>
            <w:shd w:fill="FFFFFF" w:color="auto" w:val="clear"/>
            <w:tcMar>
              <w:top w:type="dxa" w:w="80"/>
              <w:left w:type="dxa" w:w="100"/>
              <w:bottom w:type="dxa" w:w="80"/>
              <w:right w:type="dxa" w:w="100"/>
            </w:tcMar>
          </w:tcPr>
          <w:p>
            <w:r>
              <w:rPr>
                <w:b w:val="false"/>
                <w:bCs w:val="false"/>
              </w:rPr>
              <w:t xml:space="preserve">Activar ahora</w:t>
            </w:r>
          </w:p>
        </w:tc>
      </w:tr>
      <w:tr>
        <w:tc>
          <w:tcPr>
            <w:tcW w:type="dxa" w:w="2400"/>
            <w:shd w:fill="F2F2F2" w:color="auto" w:val="clear"/>
            <w:tcMar>
              <w:top w:type="dxa" w:w="80"/>
              <w:left w:type="dxa" w:w="100"/>
              <w:bottom w:type="dxa" w:w="80"/>
              <w:right w:type="dxa" w:w="100"/>
            </w:tcMar>
          </w:tcPr>
          <w:p>
            <w:r>
              <w:rPr>
                <w:b w:val="false"/>
                <w:bCs w:val="false"/>
              </w:rPr>
              <w:t xml:space="preserve">Haskell_Distribuidor / Haskell_Perú</w:t>
            </w:r>
          </w:p>
        </w:tc>
        <w:tc>
          <w:tcPr>
            <w:tcW w:type="dxa" w:w="2200"/>
            <w:shd w:fill="F2F2F2" w:color="auto" w:val="clear"/>
            <w:tcMar>
              <w:top w:type="dxa" w:w="80"/>
              <w:left w:type="dxa" w:w="100"/>
              <w:bottom w:type="dxa" w:w="80"/>
              <w:right w:type="dxa" w:w="100"/>
            </w:tcMar>
          </w:tcPr>
          <w:p>
            <w:r>
              <w:rPr>
                <w:b w:val="false"/>
                <w:bCs w:val="false"/>
              </w:rPr>
              <w:t xml:space="preserve">Instalar l10n_pe (NIF en blanco)</w:t>
            </w:r>
          </w:p>
        </w:tc>
        <w:tc>
          <w:tcPr>
            <w:tcW w:type="dxa" w:w="2400"/>
            <w:shd w:fill="F2F2F2" w:color="auto" w:val="clear"/>
            <w:tcMar>
              <w:top w:type="dxa" w:w="80"/>
              <w:left w:type="dxa" w:w="100"/>
              <w:bottom w:type="dxa" w:w="80"/>
              <w:right w:type="dxa" w:w="100"/>
            </w:tcMar>
          </w:tcPr>
          <w:p>
            <w:r>
              <w:rPr>
                <w:b w:val="false"/>
                <w:bCs w:val="false"/>
              </w:rPr>
              <w:t xml:space="preserve">Bloqueada hasta tener RUC propio</w:t>
            </w:r>
          </w:p>
        </w:tc>
        <w:tc>
          <w:tcPr>
            <w:tcW w:type="dxa" w:w="1600"/>
            <w:shd w:fill="F2F2F2" w:color="auto" w:val="clear"/>
            <w:tcMar>
              <w:top w:type="dxa" w:w="80"/>
              <w:left w:type="dxa" w:w="100"/>
              <w:bottom w:type="dxa" w:w="80"/>
              <w:right w:type="dxa" w:w="100"/>
            </w:tcMar>
          </w:tcPr>
          <w:p>
            <w:r>
              <w:rPr>
                <w:b w:val="false"/>
                <w:bCs w:val="false"/>
              </w:rPr>
              <w:t xml:space="preserve">Activar ahora</w:t>
            </w:r>
          </w:p>
        </w:tc>
        <w:tc>
          <w:tcPr>
            <w:tcW w:type="dxa" w:w="1200"/>
            <w:shd w:fill="F2F2F2" w:color="auto" w:val="clear"/>
            <w:tcMar>
              <w:top w:type="dxa" w:w="80"/>
              <w:left w:type="dxa" w:w="100"/>
              <w:bottom w:type="dxa" w:w="80"/>
              <w:right w:type="dxa" w:w="100"/>
            </w:tcMar>
          </w:tcPr>
          <w:p>
            <w:r>
              <w:rPr>
                <w:b w:val="false"/>
                <w:bCs w:val="false"/>
              </w:rPr>
              <w:t xml:space="preserve">Activar ahora</w:t>
            </w:r>
          </w:p>
        </w:tc>
      </w:tr>
      <w:tr>
        <w:tc>
          <w:tcPr>
            <w:tcW w:type="dxa" w:w="2400"/>
            <w:shd w:fill="FFFFFF" w:color="auto" w:val="clear"/>
            <w:tcMar>
              <w:top w:type="dxa" w:w="80"/>
              <w:left w:type="dxa" w:w="100"/>
              <w:bottom w:type="dxa" w:w="80"/>
              <w:right w:type="dxa" w:w="100"/>
            </w:tcMar>
          </w:tcPr>
          <w:p>
            <w:r>
              <w:rPr>
                <w:b w:val="false"/>
                <w:bCs w:val="false"/>
              </w:rPr>
              <w:t xml:space="preserve">RUC personal (RER, temporal)</w:t>
            </w:r>
          </w:p>
        </w:tc>
        <w:tc>
          <w:tcPr>
            <w:tcW w:type="dxa" w:w="2200"/>
            <w:shd w:fill="FFFFFF" w:color="auto" w:val="clear"/>
            <w:tcMar>
              <w:top w:type="dxa" w:w="80"/>
              <w:left w:type="dxa" w:w="100"/>
              <w:bottom w:type="dxa" w:w="80"/>
              <w:right w:type="dxa" w:w="100"/>
            </w:tcMar>
          </w:tcPr>
          <w:p>
            <w:r>
              <w:rPr>
                <w:b w:val="false"/>
                <w:bCs w:val="false"/>
              </w:rPr>
              <w:t xml:space="preserve">Instalar l10n_pe completo</w:t>
            </w:r>
          </w:p>
        </w:tc>
        <w:tc>
          <w:tcPr>
            <w:tcW w:type="dxa" w:w="2400"/>
            <w:shd w:fill="FFFFFF" w:color="auto" w:val="clear"/>
            <w:tcMar>
              <w:top w:type="dxa" w:w="80"/>
              <w:left w:type="dxa" w:w="100"/>
              <w:bottom w:type="dxa" w:w="80"/>
              <w:right w:type="dxa" w:w="100"/>
            </w:tcMar>
          </w:tcPr>
          <w:p>
            <w:r>
              <w:rPr>
                <w:b w:val="false"/>
                <w:bCs w:val="false"/>
              </w:rPr>
              <w:t xml:space="preserve">Configurar con IAP</w:t>
            </w:r>
          </w:p>
        </w:tc>
        <w:tc>
          <w:tcPr>
            <w:tcW w:type="dxa" w:w="1600"/>
            <w:shd w:fill="FFFFFF" w:color="auto" w:val="clear"/>
            <w:tcMar>
              <w:top w:type="dxa" w:w="80"/>
              <w:left w:type="dxa" w:w="100"/>
              <w:bottom w:type="dxa" w:w="80"/>
              <w:right w:type="dxa" w:w="100"/>
            </w:tcMar>
          </w:tcPr>
          <w:p>
            <w:r>
              <w:rPr>
                <w:b w:val="false"/>
                <w:bCs w:val="false"/>
              </w:rPr>
              <w:t xml:space="preserve">No aplica (no es un canal de venta)</w:t>
            </w:r>
          </w:p>
        </w:tc>
        <w:tc>
          <w:tcPr>
            <w:tcW w:type="dxa" w:w="1200"/>
            <w:shd w:fill="FFFFFF" w:color="auto" w:val="clear"/>
            <w:tcMar>
              <w:top w:type="dxa" w:w="80"/>
              <w:left w:type="dxa" w:w="100"/>
              <w:bottom w:type="dxa" w:w="80"/>
              <w:right w:type="dxa" w:w="100"/>
            </w:tcMar>
          </w:tcPr>
          <w:p>
            <w:r>
              <w:rPr>
                <w:b w:val="false"/>
                <w:bCs w:val="false"/>
              </w:rPr>
              <w:t xml:space="preserve">No aplica</w:t>
            </w:r>
          </w:p>
        </w:tc>
      </w:tr>
    </w:tbl>
    <w:p>
      <w:pPr>
        <w:pStyle w:val="Heading1"/>
        <w:spacing w:after="160" w:before="320"/>
      </w:pPr>
      <w:r>
        <w:t xml:space="preserve">9. Riesgos y recomendaciones</w:t>
      </w:r>
    </w:p>
    <w:p>
      <w:pPr>
        <w:pStyle w:val="ListParagraph"/>
        <w:numPr>
          <w:ilvl w:val="0"/>
          <w:numId w:val="1"/>
        </w:numPr>
        <w:spacing w:after="80"/>
      </w:pPr>
      <w:r>
        <w:t xml:space="preserve">Confirmar con el contador el tratamiento tributario de facturar ventas de Haskell bajo el RUC personal de Alberto, y cómo se reclasificarán esos ingresos cuando Haskell tenga su propio RUC.</w:t>
      </w:r>
    </w:p>
    <w:p>
      <w:pPr>
        <w:pStyle w:val="ListParagraph"/>
        <w:numPr>
          <w:ilvl w:val="0"/>
          <w:numId w:val="1"/>
        </w:numPr>
        <w:spacing w:after="80"/>
      </w:pPr>
      <w:r>
        <w:t xml:space="preserve">No facturar el primer comprobante de cada compañía nueva sin antes probarlo en el ambiente de pruebas de Odoo.</w:t>
      </w:r>
    </w:p>
    <w:p>
      <w:pPr>
        <w:pStyle w:val="ListParagraph"/>
        <w:numPr>
          <w:ilvl w:val="0"/>
          <w:numId w:val="1"/>
        </w:numPr>
        <w:spacing w:after="80"/>
      </w:pPr>
      <w:r>
        <w:t xml:space="preserve">Monitorear el consumo de créditos IAP — cada documento enviado (y cada reintento por error) consume saldo; comprar el primer paquete antes de quedarse en cero para no interrumpir la facturación.</w:t>
      </w:r>
    </w:p>
    <w:p>
      <w:pPr>
        <w:pStyle w:val="ListParagraph"/>
        <w:numPr>
          <w:ilvl w:val="0"/>
          <w:numId w:val="1"/>
        </w:numPr>
        <w:spacing w:after="80"/>
      </w:pPr>
      <w:r>
        <w:t xml:space="preserve">Revisar mensualmente los “Requiere seguimiento” de cobranza para asegurarse de que los emails automáticos se están enviando y no quedaron pausados por algún error de configuración.</w:t>
      </w:r>
    </w:p>
    <w:p>
      <w:pPr>
        <w:pStyle w:val="ListParagraph"/>
        <w:numPr>
          <w:ilvl w:val="0"/>
          <w:numId w:val="1"/>
        </w:numPr>
        <w:spacing w:after="80"/>
      </w:pPr>
      <w:r>
        <w:t xml:space="preserve">Cuando llegue el RUC de Haskell_Distribuidor, replicar exactamente los pasos de la sección 4 para esa compañía y desactivar gradualmente la vía temporal del RUC personal.</w:t>
      </w:r>
    </w:p>
    <w:p>
      <w:pPr>
        <w:pStyle w:val="Heading1"/>
        <w:spacing w:after="160" w:before="320"/>
      </w:pPr>
      <w:r>
        <w:t xml:space="preserve">10. Anexos</w:t>
      </w:r>
    </w:p>
    <w:p>
      <w:pPr>
        <w:pStyle w:val="Heading2"/>
        <w:spacing w:after="120" w:before="260"/>
      </w:pPr>
      <w:r>
        <w:t xml:space="preserve">10.1 Glosario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80"/>
              <w:left w:type="dxa" w:w="100"/>
              <w:bottom w:type="dxa" w:w="80"/>
              <w:right w:type="dxa" w:w="100"/>
            </w:tcMar>
          </w:tcPr>
          <w:p>
            <w:r>
              <w:rPr>
                <w:b/>
                <w:bCs/>
                <w:color w:val="FFFFFF"/>
              </w:rPr>
              <w:t xml:space="preserve">Término</w:t>
            </w:r>
          </w:p>
        </w:tc>
        <w:tc>
          <w:tcPr>
            <w:tcW w:type="dxa" w:w="6800"/>
            <w:shd w:fill="1F3864" w:color="auto" w:val="clear"/>
            <w:tcMar>
              <w:top w:type="dxa" w:w="80"/>
              <w:left w:type="dxa" w:w="100"/>
              <w:bottom w:type="dxa" w:w="80"/>
              <w:right w:type="dxa" w:w="100"/>
            </w:tcMar>
          </w:tcPr>
          <w:p>
            <w:r>
              <w:rPr>
                <w:b/>
                <w:bCs/>
                <w:color w:val="FFFFFF"/>
              </w:rPr>
              <w:t xml:space="preserve">Significado</w:t>
            </w:r>
          </w:p>
        </w:tc>
      </w:tr>
      <w:tr>
        <w:tc>
          <w:tcPr>
            <w:tcW w:type="dxa" w:w="2200"/>
            <w:shd w:fill="FFFFFF" w:color="auto" w:val="clear"/>
            <w:tcMar>
              <w:top w:type="dxa" w:w="80"/>
              <w:left w:type="dxa" w:w="100"/>
              <w:bottom w:type="dxa" w:w="80"/>
              <w:right w:type="dxa" w:w="100"/>
            </w:tcMar>
          </w:tcPr>
          <w:p>
            <w:r>
              <w:rPr>
                <w:b w:val="false"/>
                <w:bCs w:val="false"/>
              </w:rPr>
              <w:t xml:space="preserve">SUNAT</w:t>
            </w:r>
          </w:p>
        </w:tc>
        <w:tc>
          <w:tcPr>
            <w:tcW w:type="dxa" w:w="6800"/>
            <w:shd w:fill="FFFFFF" w:color="auto" w:val="clear"/>
            <w:tcMar>
              <w:top w:type="dxa" w:w="80"/>
              <w:left w:type="dxa" w:w="100"/>
              <w:bottom w:type="dxa" w:w="80"/>
              <w:right w:type="dxa" w:w="100"/>
            </w:tcMar>
          </w:tcPr>
          <w:p>
            <w:r>
              <w:rPr>
                <w:b w:val="false"/>
                <w:bCs w:val="false"/>
              </w:rPr>
              <w:t xml:space="preserve">Superintendencia Nacional de Aduanas y de Administración Tributaria — autoridad tributaria peruana.</w:t>
            </w:r>
          </w:p>
        </w:tc>
      </w:tr>
      <w:tr>
        <w:tc>
          <w:tcPr>
            <w:tcW w:type="dxa" w:w="2200"/>
            <w:shd w:fill="F2F2F2" w:color="auto" w:val="clear"/>
            <w:tcMar>
              <w:top w:type="dxa" w:w="80"/>
              <w:left w:type="dxa" w:w="100"/>
              <w:bottom w:type="dxa" w:w="80"/>
              <w:right w:type="dxa" w:w="100"/>
            </w:tcMar>
          </w:tcPr>
          <w:p>
            <w:r>
              <w:rPr>
                <w:b w:val="false"/>
                <w:bCs w:val="false"/>
              </w:rPr>
              <w:t xml:space="preserve">OSE</w:t>
            </w:r>
          </w:p>
        </w:tc>
        <w:tc>
          <w:tcPr>
            <w:tcW w:type="dxa" w:w="6800"/>
            <w:shd w:fill="F2F2F2" w:color="auto" w:val="clear"/>
            <w:tcMar>
              <w:top w:type="dxa" w:w="80"/>
              <w:left w:type="dxa" w:w="100"/>
              <w:bottom w:type="dxa" w:w="80"/>
              <w:right w:type="dxa" w:w="100"/>
            </w:tcMar>
          </w:tcPr>
          <w:p>
            <w:r>
              <w:rPr>
                <w:b w:val="false"/>
                <w:bCs w:val="false"/>
              </w:rPr>
              <w:t xml:space="preserve">Operador de Servicios Electrónicos — valida los comprobantes antes de enviarlos a SUNAT.</w:t>
            </w:r>
          </w:p>
        </w:tc>
      </w:tr>
      <w:tr>
        <w:tc>
          <w:tcPr>
            <w:tcW w:type="dxa" w:w="2200"/>
            <w:shd w:fill="FFFFFF" w:color="auto" w:val="clear"/>
            <w:tcMar>
              <w:top w:type="dxa" w:w="80"/>
              <w:left w:type="dxa" w:w="100"/>
              <w:bottom w:type="dxa" w:w="80"/>
              <w:right w:type="dxa" w:w="100"/>
            </w:tcMar>
          </w:tcPr>
          <w:p>
            <w:r>
              <w:rPr>
                <w:b w:val="false"/>
                <w:bCs w:val="false"/>
              </w:rPr>
              <w:t xml:space="preserve">CDR</w:t>
            </w:r>
          </w:p>
        </w:tc>
        <w:tc>
          <w:tcPr>
            <w:tcW w:type="dxa" w:w="6800"/>
            <w:shd w:fill="FFFFFF" w:color="auto" w:val="clear"/>
            <w:tcMar>
              <w:top w:type="dxa" w:w="80"/>
              <w:left w:type="dxa" w:w="100"/>
              <w:bottom w:type="dxa" w:w="80"/>
              <w:right w:type="dxa" w:w="100"/>
            </w:tcMar>
          </w:tcPr>
          <w:p>
            <w:r>
              <w:rPr>
                <w:b w:val="false"/>
                <w:bCs w:val="false"/>
              </w:rPr>
              <w:t xml:space="preserve">Constancia de Recepción — comprobante de que SUNAT validó el documento.</w:t>
            </w:r>
          </w:p>
        </w:tc>
      </w:tr>
      <w:tr>
        <w:tc>
          <w:tcPr>
            <w:tcW w:type="dxa" w:w="2200"/>
            <w:shd w:fill="F2F2F2" w:color="auto" w:val="clear"/>
            <w:tcMar>
              <w:top w:type="dxa" w:w="80"/>
              <w:left w:type="dxa" w:w="100"/>
              <w:bottom w:type="dxa" w:w="80"/>
              <w:right w:type="dxa" w:w="100"/>
            </w:tcMar>
          </w:tcPr>
          <w:p>
            <w:r>
              <w:rPr>
                <w:b w:val="false"/>
                <w:bCs w:val="false"/>
              </w:rPr>
              <w:t xml:space="preserve">EDI</w:t>
            </w:r>
          </w:p>
        </w:tc>
        <w:tc>
          <w:tcPr>
            <w:tcW w:type="dxa" w:w="6800"/>
            <w:shd w:fill="F2F2F2" w:color="auto" w:val="clear"/>
            <w:tcMar>
              <w:top w:type="dxa" w:w="80"/>
              <w:left w:type="dxa" w:w="100"/>
              <w:bottom w:type="dxa" w:w="80"/>
              <w:right w:type="dxa" w:w="100"/>
            </w:tcMar>
          </w:tcPr>
          <w:p>
            <w:r>
              <w:rPr>
                <w:b w:val="false"/>
                <w:bCs w:val="false"/>
              </w:rPr>
              <w:t xml:space="preserve">Intercambio Electrónico de Datos — el formato/flujo de la factura electrónica (Perú usa UBL 2.1).</w:t>
            </w:r>
          </w:p>
        </w:tc>
      </w:tr>
      <w:tr>
        <w:tc>
          <w:tcPr>
            <w:tcW w:type="dxa" w:w="2200"/>
            <w:shd w:fill="FFFFFF" w:color="auto" w:val="clear"/>
            <w:tcMar>
              <w:top w:type="dxa" w:w="80"/>
              <w:left w:type="dxa" w:w="100"/>
              <w:bottom w:type="dxa" w:w="80"/>
              <w:right w:type="dxa" w:w="100"/>
            </w:tcMar>
          </w:tcPr>
          <w:p>
            <w:r>
              <w:rPr>
                <w:b w:val="false"/>
                <w:bCs w:val="false"/>
              </w:rPr>
              <w:t xml:space="preserve">PCGE</w:t>
            </w:r>
          </w:p>
        </w:tc>
        <w:tc>
          <w:tcPr>
            <w:tcW w:type="dxa" w:w="6800"/>
            <w:shd w:fill="FFFFFF" w:color="auto" w:val="clear"/>
            <w:tcMar>
              <w:top w:type="dxa" w:w="80"/>
              <w:left w:type="dxa" w:w="100"/>
              <w:bottom w:type="dxa" w:w="80"/>
              <w:right w:type="dxa" w:w="100"/>
            </w:tcMar>
          </w:tcPr>
          <w:p>
            <w:r>
              <w:rPr>
                <w:b w:val="false"/>
                <w:bCs w:val="false"/>
              </w:rPr>
              <w:t xml:space="preserve">Plan Contable General Empresarial — plan de cuentas oficial peruano.</w:t>
            </w:r>
          </w:p>
        </w:tc>
      </w:tr>
      <w:tr>
        <w:tc>
          <w:tcPr>
            <w:tcW w:type="dxa" w:w="2200"/>
            <w:shd w:fill="F2F2F2" w:color="auto" w:val="clear"/>
            <w:tcMar>
              <w:top w:type="dxa" w:w="80"/>
              <w:left w:type="dxa" w:w="100"/>
              <w:bottom w:type="dxa" w:w="80"/>
              <w:right w:type="dxa" w:w="100"/>
            </w:tcMar>
          </w:tcPr>
          <w:p>
            <w:r>
              <w:rPr>
                <w:b w:val="false"/>
                <w:bCs w:val="false"/>
              </w:rPr>
              <w:t xml:space="preserve">PLE</w:t>
            </w:r>
          </w:p>
        </w:tc>
        <w:tc>
          <w:tcPr>
            <w:tcW w:type="dxa" w:w="6800"/>
            <w:shd w:fill="F2F2F2" w:color="auto" w:val="clear"/>
            <w:tcMar>
              <w:top w:type="dxa" w:w="80"/>
              <w:left w:type="dxa" w:w="100"/>
              <w:bottom w:type="dxa" w:w="80"/>
              <w:right w:type="dxa" w:w="100"/>
            </w:tcMar>
          </w:tcPr>
          <w:p>
            <w:r>
              <w:rPr>
                <w:b w:val="false"/>
                <w:bCs w:val="false"/>
              </w:rPr>
              <w:t xml:space="preserve">Programa de Libros Electrónicos — libros contables/inventario que exige SUNAT en .txt.</w:t>
            </w:r>
          </w:p>
        </w:tc>
      </w:tr>
      <w:tr>
        <w:tc>
          <w:tcPr>
            <w:tcW w:type="dxa" w:w="2200"/>
            <w:shd w:fill="FFFFFF" w:color="auto" w:val="clear"/>
            <w:tcMar>
              <w:top w:type="dxa" w:w="80"/>
              <w:left w:type="dxa" w:w="100"/>
              <w:bottom w:type="dxa" w:w="80"/>
              <w:right w:type="dxa" w:w="100"/>
            </w:tcMar>
          </w:tcPr>
          <w:p>
            <w:r>
              <w:rPr>
                <w:b w:val="false"/>
                <w:bCs w:val="false"/>
              </w:rPr>
              <w:t xml:space="preserve">Credenciales SOL</w:t>
            </w:r>
          </w:p>
        </w:tc>
        <w:tc>
          <w:tcPr>
            <w:tcW w:type="dxa" w:w="6800"/>
            <w:shd w:fill="FFFFFF" w:color="auto" w:val="clear"/>
            <w:tcMar>
              <w:top w:type="dxa" w:w="80"/>
              <w:left w:type="dxa" w:w="100"/>
              <w:bottom w:type="dxa" w:w="80"/>
              <w:right w:type="dxa" w:w="100"/>
            </w:tcMar>
          </w:tcPr>
          <w:p>
            <w:r>
              <w:rPr>
                <w:b w:val="false"/>
                <w:bCs w:val="false"/>
              </w:rPr>
              <w:t xml:space="preserve">Usuario y clave de “SUNAT Operaciones en Línea”, necesarias para varios trámites, incluida la guía de remisión.</w:t>
            </w:r>
          </w:p>
        </w:tc>
      </w:tr>
      <w:tr>
        <w:tc>
          <w:tcPr>
            <w:tcW w:type="dxa" w:w="2200"/>
            <w:shd w:fill="F2F2F2" w:color="auto" w:val="clear"/>
            <w:tcMar>
              <w:top w:type="dxa" w:w="80"/>
              <w:left w:type="dxa" w:w="100"/>
              <w:bottom w:type="dxa" w:w="80"/>
              <w:right w:type="dxa" w:w="100"/>
            </w:tcMar>
          </w:tcPr>
          <w:p>
            <w:r>
              <w:rPr>
                <w:b w:val="false"/>
                <w:bCs w:val="false"/>
              </w:rPr>
              <w:t xml:space="preserve">IAP</w:t>
            </w:r>
          </w:p>
        </w:tc>
        <w:tc>
          <w:tcPr>
            <w:tcW w:type="dxa" w:w="6800"/>
            <w:shd w:fill="F2F2F2" w:color="auto" w:val="clear"/>
            <w:tcMar>
              <w:top w:type="dxa" w:w="80"/>
              <w:left w:type="dxa" w:w="100"/>
              <w:bottom w:type="dxa" w:w="80"/>
              <w:right w:type="dxa" w:w="100"/>
            </w:tcMar>
          </w:tcPr>
          <w:p>
            <w:r>
              <w:rPr>
                <w:b w:val="false"/>
                <w:bCs w:val="false"/>
              </w:rPr>
              <w:t xml:space="preserve">In-App Purchase — créditos de pago por uso de un servicio dentro de Odoo (en este caso, firma y envío de comprobantes).</w:t>
            </w:r>
          </w:p>
        </w:tc>
      </w:tr>
    </w:tbl>
    <w:p>
      <w:pPr>
        <w:spacing w:after="200"/>
      </w:pPr>
    </w:p>
    <w:p>
      <w:pPr>
        <w:pStyle w:val="Heading2"/>
        <w:spacing w:after="120" w:before="260"/>
      </w:pPr>
      <w:r>
        <w:t xml:space="preserve">10.2 Checklist rápido — primera factura electrónica de una compañía nueva</w:t>
      </w:r>
    </w:p>
    <w:p>
      <w:pPr>
        <w:pStyle w:val="ListParagraph"/>
        <w:numPr>
          <w:ilvl w:val="0"/>
          <w:numId w:val="2"/>
        </w:numPr>
        <w:spacing w:after="80"/>
      </w:pPr>
      <w:r>
        <w:t xml:space="preserve">Instalar l10n_pe y l10n_pe_edi.</w:t>
      </w:r>
    </w:p>
    <w:p>
      <w:pPr>
        <w:pStyle w:val="ListParagraph"/>
        <w:numPr>
          <w:ilvl w:val="0"/>
          <w:numId w:val="2"/>
        </w:numPr>
        <w:spacing w:after="80"/>
      </w:pPr>
      <w:r>
        <w:t xml:space="preserve">Completar País, NIF y Código de establecimiento en la ficha de la compañía.</w:t>
      </w:r>
    </w:p>
    <w:p>
      <w:pPr>
        <w:pStyle w:val="ListParagraph"/>
        <w:numPr>
          <w:ilvl w:val="0"/>
          <w:numId w:val="2"/>
        </w:numPr>
        <w:spacing w:after="80"/>
      </w:pPr>
      <w:r>
        <w:t xml:space="preserve">Configurar Proveedor de firma = IAP en Localización Peruana.</w:t>
      </w:r>
    </w:p>
    <w:p>
      <w:pPr>
        <w:pStyle w:val="ListParagraph"/>
        <w:numPr>
          <w:ilvl w:val="0"/>
          <w:numId w:val="2"/>
        </w:numPr>
        <w:spacing w:after="80"/>
      </w:pPr>
      <w:r>
        <w:t xml:space="preserve">Activar el ambiente de pruebas.</w:t>
      </w:r>
    </w:p>
    <w:p>
      <w:pPr>
        <w:pStyle w:val="ListParagraph"/>
        <w:numPr>
          <w:ilvl w:val="0"/>
          <w:numId w:val="2"/>
        </w:numPr>
        <w:spacing w:after="80"/>
      </w:pPr>
      <w:r>
        <w:t xml:space="preserve">Revisar el diario de ventas: “Usar documentos” activo, EDI = Peru UBL 2.1, Factur-X desmarcado.</w:t>
      </w:r>
    </w:p>
    <w:p>
      <w:pPr>
        <w:pStyle w:val="ListParagraph"/>
        <w:numPr>
          <w:ilvl w:val="0"/>
          <w:numId w:val="2"/>
        </w:numPr>
        <w:spacing w:after="80"/>
      </w:pPr>
      <w:r>
        <w:t xml:space="preserve">Completar tipo y número de identificación en la ficha del cliente.</w:t>
      </w:r>
    </w:p>
    <w:p>
      <w:pPr>
        <w:pStyle w:val="ListParagraph"/>
        <w:numPr>
          <w:ilvl w:val="0"/>
          <w:numId w:val="2"/>
        </w:numPr>
        <w:spacing w:after="80"/>
      </w:pPr>
      <w:r>
        <w:t xml:space="preserve">Crear una factura de prueba, validarla, confirmar que llega a “Enviado” sin errores.</w:t>
      </w:r>
    </w:p>
    <w:p>
      <w:pPr>
        <w:pStyle w:val="ListParagraph"/>
        <w:numPr>
          <w:ilvl w:val="0"/>
          <w:numId w:val="2"/>
        </w:numPr>
        <w:spacing w:after="80"/>
      </w:pPr>
      <w:r>
        <w:t xml:space="preserve">Desactivar el ambiente de pruebas y emitir el primer comprobante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2026-08-04T03:21:50.843Z</dcterms:created>
  <dcterms:modified xsi:type="dcterms:W3CDTF">2026-08-04T03:21:50.843Z</dcterms:modified>
</cp:coreProperties>
</file>

<file path=docProps/custom.xml><?xml version="1.0" encoding="utf-8"?>
<Properties xmlns="http://schemas.openxmlformats.org/officeDocument/2006/custom-properties" xmlns:vt="http://schemas.openxmlformats.org/officeDocument/2006/docPropsVTypes"/>
</file>