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left"/>
      </w:pPr>
      <w:r>
        <w:rPr>
          <w:rFonts w:ascii="Times New Roman" w:cs="Times New Roman" w:eastAsia="Times New Roman" w:hAnsi="Times New Roman"/>
          <w:b/>
          <w:bCs/>
        </w:rPr>
        <w:t xml:space="preserve">Original Article</w:t>
      </w:r>
    </w:p>
    <w:p>
      <w:pPr>
        <w:spacing w:after="120" w:line="480"/>
        <w:jc w:val="center"/>
      </w:pPr>
      <w:r>
        <w:rPr>
          <w:rFonts w:ascii="Times New Roman" w:cs="Times New Roman" w:eastAsia="Times New Roman" w:hAnsi="Times New Roman"/>
          <w:b/>
          <w:bCs/>
        </w:rPr>
        <w:t xml:space="preserve">Effect of Structured Source Curation on the Accuracy of a Retrieval-Augmented Generation System for Pediatric Vesicoureteral Reflux: Paired Evaluation Study With an Exploratory Comparison With Expert and AI Responses</w:t>
      </w:r>
    </w:p>
    <w:p>
      <w:pPr>
        <w:spacing w:after="120" w:line="480"/>
        <w:jc w:val="left"/>
      </w:pPr>
      <w:r>
        <w:rPr>
          <w:rFonts w:ascii="Times New Roman" w:cs="Times New Roman" w:eastAsia="Times New Roman" w:hAnsi="Times New Roman"/>
        </w:rPr>
        <w:t xml:space="preserve">Gerardo A. Zambudio-Carmona</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MD; Alberto Zambudio-Munuera</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MD; Iván Somoza-Argibay</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MD; S. Altamirano</w:t>
      </w: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MD </w:t>
      </w:r>
      <w:r>
        <w:rPr>
          <w:rFonts w:ascii="Times New Roman" w:cs="Times New Roman" w:eastAsia="Times New Roman" w:hAnsi="Times New Roman"/>
          <w:b/>
          <w:bCs/>
        </w:rPr>
        <w:t xml:space="preserve">[AUTHORS: confirm authors, degrees and full name of S. Altamirano]</w:t>
      </w:r>
    </w:p>
    <w:p>
      <w:pPr>
        <w:spacing w:after="120" w:line="480"/>
        <w:jc w:val="left"/>
      </w:pP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Department of Pediatric Surgery, Section of Pediatric Urology, Virgen de la Arrixaca University Hospital, Murcia, Spain</w:t>
      </w:r>
    </w:p>
    <w:p>
      <w:pPr>
        <w:spacing w:after="120" w:line="480"/>
        <w:jc w:val="left"/>
      </w:pP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Department of Urology, Hospital Universitario Clínico San Cecilio, Granada, Spain</w:t>
      </w:r>
    </w:p>
    <w:p>
      <w:pPr>
        <w:spacing w:after="120" w:line="480"/>
        <w:jc w:val="left"/>
      </w:pPr>
      <w:r>
        <w:rPr>
          <w:rFonts w:ascii="Times New Roman" w:cs="Times New Roman" w:eastAsia="Times New Roman" w:hAnsi="Times New Roman"/>
          <w:vertAlign w:val="superscript"/>
        </w:rPr>
        <w:t xml:space="preserve">3</w:t>
      </w:r>
      <w:r>
        <w:rPr>
          <w:rFonts w:ascii="Times New Roman" w:cs="Times New Roman" w:eastAsia="Times New Roman" w:hAnsi="Times New Roman"/>
        </w:rPr>
        <w:t xml:space="preserve"> Department of Pediatric Surgery, Complejo Hospitalario Universitario A Coruña, A Coruña, Spain</w:t>
      </w:r>
    </w:p>
    <w:p>
      <w:pPr>
        <w:spacing w:after="120" w:line="480"/>
        <w:jc w:val="left"/>
      </w:pPr>
      <w:r>
        <w:rPr>
          <w:rFonts w:ascii="Times New Roman" w:cs="Times New Roman" w:eastAsia="Times New Roman" w:hAnsi="Times New Roman"/>
          <w:b/>
          <w:bCs/>
        </w:rPr>
        <w:t xml:space="preserve">Corresponding author:</w:t>
      </w:r>
      <w:r>
        <w:rPr>
          <w:rFonts w:ascii="Times New Roman" w:cs="Times New Roman" w:eastAsia="Times New Roman" w:hAnsi="Times New Roman"/>
        </w:rPr>
        <w:t xml:space="preserve"> Gerardo A. Zambudio-Carmona, MD. Department of Pediatric Surgery, Section of Pediatric Urology, Virgen de la Arrixaca University Hospital, Ctra. Madrid-Cartagena s/n, 30120 Murcia, Spain. Email: gzambudio@uropediatria.com</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Retrieval-augmented generation (RAG) grounds large language models in clinical documents, but guidelines and trials are distributed as PDFs whose tables, forest plots and flowcharts may be poorly retrieved.</w:t>
      </w:r>
    </w:p>
    <w:p>
      <w:pPr>
        <w:spacing w:after="120" w:line="480"/>
        <w:jc w:val="left"/>
      </w:pPr>
      <w:r>
        <w:rPr>
          <w:rFonts w:ascii="Times New Roman" w:cs="Times New Roman" w:eastAsia="Times New Roman" w:hAnsi="Times New Roman"/>
          <w:b/>
          <w:bCs/>
        </w:rPr>
        <w:t xml:space="preserve">Objective:</w:t>
      </w:r>
      <w:r>
        <w:rPr>
          <w:rFonts w:ascii="Times New Roman" w:cs="Times New Roman" w:eastAsia="Times New Roman" w:hAnsi="Times New Roman"/>
        </w:rPr>
        <w:t xml:space="preserve"> To quantify the effect of manual structured curation of source documents, versus original PDFs, on RAG accuracy for pediatric vesicoureteral reflux (VUR) and urinary tract infection, and to explore how the curated system, a biomedical AI tool and expert practice differ on controversial questions.</w:t>
      </w:r>
    </w:p>
    <w:p>
      <w:pPr>
        <w:spacing w:after="120" w:line="480"/>
        <w:jc w:val="left"/>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Two GPT-4o File Search assistants, identical except for source representation (12 original PDFs vs curated structured text), answered a predefined 50-item question bank. Answers were scored 0–2 and re-scored by a co-investigator blinded to arm. An exploratory phase compared the curated assistant, Open Evidence and 30 surveyed pediatric urologists on 11 questions.</w:t>
      </w:r>
    </w:p>
    <w:p>
      <w:pPr>
        <w:spacing w:after="120" w:line="480"/>
        <w:jc w:val="left"/>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The curated arm scored 94/100 vs 84/100 (mean difference 0.20 points/item, 95% CI 0.06–0.36) and answered 88% vs 72% of items completely correctly (difference 16 points, 95% CI 2–30; McNemar p=0.04). Ten items improved and two, both flowchart questions, worsened; one reclassified item would remove significance. Blinded re-scoring reproduced the effect (κ 0.87 and 0.74). Expert agreement, AI agreement and guideline alignment diverged in the exploratory phase.</w:t>
      </w:r>
    </w:p>
    <w:p>
      <w:pPr>
        <w:spacing w:after="120" w:line="480"/>
        <w:jc w:val="left"/>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Source curation modestly improved RAG accuracy, mainly for tabulated numerical data. Document preparation should be validated and reported as part of clinical RAG systems.</w:t>
      </w:r>
    </w:p>
    <w:p>
      <w:pPr>
        <w:spacing w:after="120" w:line="480"/>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retrieval-augmented generation; large language models; vesicoureteral reflux; urinary tract infection; pediatric urology; clinical decision support; document curation; evaluation study</w:t>
      </w:r>
    </w:p>
    <w:p>
      <w:pPr>
        <w:pStyle w:val="Heading1"/>
        <w:spacing w:after="120" w:before="240" w:line="480"/>
      </w:pPr>
      <w:r>
        <w:rPr>
          <w:rFonts w:ascii="Times New Roman" w:cs="Times New Roman" w:eastAsia="Times New Roman" w:hAnsi="Times New Roman"/>
          <w:b/>
          <w:bCs/>
          <w:sz w:val="26"/>
          <w:szCs w:val="26"/>
        </w:rPr>
        <w:t xml:space="preserve">Highlights</w:t>
      </w:r>
    </w:p>
    <w:p>
      <w:pPr>
        <w:spacing w:after="40" w:line="300"/>
        <w:jc w:val="left"/>
      </w:pPr>
      <w:r>
        <w:rPr>
          <w:rFonts w:ascii="Times New Roman" w:cs="Times New Roman" w:eastAsia="Times New Roman" w:hAnsi="Times New Roman"/>
        </w:rPr>
        <w:t xml:space="preserve">• Curated structured text outperformed raw PDFs as a RAG knowledge base (94 vs 84/100).</w:t>
      </w:r>
    </w:p>
    <w:p>
      <w:pPr>
        <w:spacing w:after="40" w:line="300"/>
        <w:jc w:val="left"/>
      </w:pPr>
      <w:r>
        <w:rPr>
          <w:rFonts w:ascii="Times New Roman" w:cs="Times New Roman" w:eastAsia="Times New Roman" w:hAnsi="Times New Roman"/>
        </w:rPr>
        <w:t xml:space="preserve">• Gains concentrated on numerical data from tables, forest plots and meta-analyses.</w:t>
      </w:r>
    </w:p>
    <w:p>
      <w:pPr>
        <w:spacing w:after="40" w:line="300"/>
        <w:jc w:val="left"/>
      </w:pPr>
      <w:r>
        <w:rPr>
          <w:rFonts w:ascii="Times New Roman" w:cs="Times New Roman" w:eastAsia="Times New Roman" w:hAnsi="Times New Roman"/>
        </w:rPr>
        <w:t xml:space="preserve">• Converting guideline flowcharts to text was a failure point of manual curation.</w:t>
      </w:r>
    </w:p>
    <w:p>
      <w:pPr>
        <w:spacing w:after="40" w:line="300"/>
        <w:jc w:val="left"/>
      </w:pPr>
      <w:r>
        <w:rPr>
          <w:rFonts w:ascii="Times New Roman" w:cs="Times New Roman" w:eastAsia="Times New Roman" w:hAnsi="Times New Roman"/>
        </w:rPr>
        <w:t xml:space="preserve">• The paired result was fragile but reproduced by a blinded second rater.</w:t>
      </w:r>
    </w:p>
    <w:p>
      <w:pPr>
        <w:spacing w:after="40" w:line="300"/>
        <w:jc w:val="left"/>
      </w:pPr>
      <w:r>
        <w:rPr>
          <w:rFonts w:ascii="Times New Roman" w:cs="Times New Roman" w:eastAsia="Times New Roman" w:hAnsi="Times New Roman"/>
        </w:rPr>
        <w:t xml:space="preserve">• Expert agreement, AI agreement and guideline alignment were distinct outcomes.</w:t>
      </w:r>
    </w:p>
    <w:p>
      <w:pPr>
        <w:spacing w:after="120" w:before="240" w:line="276"/>
      </w:pPr>
      <w:r>
        <w:rPr>
          <w:rFonts w:ascii="Times New Roman" w:cs="Times New Roman" w:eastAsia="Times New Roman" w:hAnsi="Times New Roman"/>
          <w:b/>
          <w:bCs/>
          <w:sz w:val="22"/>
          <w:szCs w:val="22"/>
        </w:rPr>
        <w:t xml:space="preserve">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What was already known on the topic</w:t>
            </w:r>
          </w:p>
        </w:tc>
        <w:tc>
          <w:tcPr>
            <w:tcW w:type="dxa" w:w="45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What this study added to our knowledge</w:t>
            </w:r>
          </w:p>
        </w:tc>
      </w:tr>
      <w:tr>
        <w:trPr>
          <w:tblHeader w:val="false"/>
        </w:trPr>
        <w:tc>
          <w:tcPr>
            <w:tcW w:type="dxa" w:w="4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 RAG can reduce unsupported LLM output, but its accuracy depends on the whole retrieval pipeline, not only on the model.</w:t>
            </w:r>
          </w:p>
          <w:p>
            <w:pPr>
              <w:spacing w:line="240"/>
            </w:pPr>
            <w:r>
              <w:rPr>
                <w:rFonts w:ascii="Times New Roman" w:cs="Times New Roman" w:eastAsia="Times New Roman" w:hAnsi="Times New Roman"/>
                <w:b w:val="false"/>
                <w:bCs w:val="false"/>
                <w:sz w:val="18"/>
                <w:szCs w:val="18"/>
              </w:rPr>
              <w:t xml:space="preserve">• PDF extraction may fragment tables, figures and algorithms.</w:t>
            </w:r>
          </w:p>
          <w:p>
            <w:pPr>
              <w:spacing w:line="240"/>
            </w:pPr>
            <w:r>
              <w:rPr>
                <w:rFonts w:ascii="Times New Roman" w:cs="Times New Roman" w:eastAsia="Times New Roman" w:hAnsi="Times New Roman"/>
                <w:b w:val="false"/>
                <w:bCs w:val="false"/>
                <w:sz w:val="18"/>
                <w:szCs w:val="18"/>
              </w:rPr>
              <w:t xml:space="preserve">• Clinical evaluations of RAG rarely isolate document preparation while holding the model constant.</w:t>
            </w:r>
          </w:p>
        </w:tc>
        <w:tc>
          <w:tcPr>
            <w:tcW w:type="dxa" w:w="4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 In a paired design with model, prompt and questions held constant, curated structured text improved answer accuracy in pediatric VUR/UTI by 16 percentage points.</w:t>
            </w:r>
          </w:p>
          <w:p>
            <w:pPr>
              <w:spacing w:line="240"/>
            </w:pPr>
            <w:r>
              <w:rPr>
                <w:rFonts w:ascii="Times New Roman" w:cs="Times New Roman" w:eastAsia="Times New Roman" w:hAnsi="Times New Roman"/>
                <w:b w:val="false"/>
                <w:bCs w:val="false"/>
                <w:sz w:val="18"/>
                <w:szCs w:val="18"/>
              </w:rPr>
              <w:t xml:space="preserve">• Gains concentrated on tabulated numerical data; flowchart conversion was a failure point.</w:t>
            </w:r>
          </w:p>
          <w:p>
            <w:pPr>
              <w:spacing w:line="240"/>
            </w:pPr>
            <w:r>
              <w:rPr>
                <w:rFonts w:ascii="Times New Roman" w:cs="Times New Roman" w:eastAsia="Times New Roman" w:hAnsi="Times New Roman"/>
                <w:b w:val="false"/>
                <w:bCs w:val="false"/>
                <w:sz w:val="18"/>
                <w:szCs w:val="18"/>
              </w:rPr>
              <w:t xml:space="preserve">• In controversial scenarios, agreement with experts or with another AI tool did not equal guideline alignment.</w:t>
            </w:r>
          </w:p>
        </w:tc>
      </w:tr>
    </w:tbl>
    <w:p>
      <w:r>
        <w:br w:type="page"/>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rPr>
        <w:t xml:space="preserve">Clinicians increasingly use large language models (LLMs) to search, summarise and interpret medical literature. Because LLMs can generate fluent but unsupported statements, retrieval-augmented generation (RAG) has been proposed to ground answers in an external corpus of trusted documents [1]. Benchmark studies show, however, that RAG performance depends on the whole pipeline (corpus, document representation, retriever, prompt and evaluation) rather than on the language model alone [2,3].</w:t>
      </w:r>
    </w:p>
    <w:p>
      <w:pPr>
        <w:spacing w:after="120" w:line="480"/>
        <w:jc w:val="left"/>
      </w:pPr>
      <w:r>
        <w:rPr>
          <w:rFonts w:ascii="Times New Roman" w:cs="Times New Roman" w:eastAsia="Times New Roman" w:hAnsi="Times New Roman"/>
        </w:rPr>
        <w:t xml:space="preserve">Clinical knowledge is mostly distributed as PDF files designed for human reading. In guidelines, trials and meta-analyses, decision-relevant information is often located in tables, forest plots, scoring rules and flowcharts. Text extraction from such documents can fragment tables, separate numbers from their outcomes and lose the branch structure of algorithms, and engineering reports have described these problems [4,17]. Most clinical RAG evaluations nonetheless compare models or products, and few isolate the effect of document preparation while holding the model, prompt and questions constant.</w:t>
      </w:r>
    </w:p>
    <w:p>
      <w:pPr>
        <w:spacing w:after="120" w:line="480"/>
        <w:jc w:val="left"/>
      </w:pPr>
      <w:r>
        <w:rPr>
          <w:rFonts w:ascii="Times New Roman" w:cs="Times New Roman" w:eastAsia="Times New Roman" w:hAnsi="Times New Roman"/>
        </w:rPr>
        <w:t xml:space="preserve">Pediatric vesicoureteral reflux (VUR) and urinary tract infection (UTI) are a demanding test domain. Decisions integrate age, reflux grade, renal scarring, recurrent febrile UTI, bladder and bowel dysfunction, differential renal function and imaging, and the evidence base combines guidelines, randomised trials, meta-analyses and prediction models whose key results are frequently tabulated [5–16,21]. Several decisions (imaging after a first febrile UTI, the timing of follow-up cystography, and the management of persistent high-grade reflux) remain variable in practice, and AI tools may give plausible but divergent answers without making their sources explicit.</w:t>
      </w:r>
    </w:p>
    <w:p>
      <w:pPr>
        <w:spacing w:after="120" w:line="480"/>
        <w:jc w:val="left"/>
      </w:pPr>
      <w:r>
        <w:rPr>
          <w:rFonts w:ascii="Times New Roman" w:cs="Times New Roman" w:eastAsia="Times New Roman" w:hAnsi="Times New Roman"/>
        </w:rPr>
        <w:t xml:space="preserve">The primary objective of this study was to quantify the effect of manual structured curation of source documents, compared with uploading the original PDFs, on the accuracy of a RAG assistant answering source-dependent questions on pediatric VUR/UTI. We hypothesised that curation would improve accuracy, particularly for numerical data embedded in tables and figures. The secondary, exploratory objective was to describe how the curated assistant, a biomedical AI tool and expert practice differ on clinically controversial questions, and whether agreement with experts is an adequate yardstick for such questions.</w:t>
      </w:r>
    </w:p>
    <w:p>
      <w:pPr>
        <w:pStyle w:val="Heading1"/>
        <w:spacing w:after="120" w:before="240" w:line="480"/>
      </w:pPr>
      <w:r>
        <w:rPr>
          <w:rFonts w:ascii="Times New Roman" w:cs="Times New Roman" w:eastAsia="Times New Roman" w:hAnsi="Times New Roman"/>
          <w:b/>
          <w:bCs/>
          <w:sz w:val="26"/>
          <w:szCs w:val="26"/>
        </w:rPr>
        <w:t xml:space="preserve">Methods</w:t>
      </w:r>
    </w:p>
    <w:p>
      <w:pPr>
        <w:pStyle w:val="Heading2"/>
        <w:spacing w:after="100" w:before="200" w:line="480"/>
      </w:pPr>
      <w:r>
        <w:rPr>
          <w:rFonts w:ascii="Times New Roman" w:cs="Times New Roman" w:eastAsia="Times New Roman" w:hAnsi="Times New Roman"/>
          <w:b/>
          <w:bCs/>
          <w:i/>
          <w:iCs/>
          <w:sz w:val="24"/>
          <w:szCs w:val="24"/>
        </w:rPr>
        <w:t xml:space="preserve">Study Design and Reporting</w:t>
      </w:r>
    </w:p>
    <w:p>
      <w:pPr>
        <w:spacing w:after="120" w:line="480"/>
        <w:jc w:val="left"/>
      </w:pPr>
      <w:r>
        <w:rPr>
          <w:rFonts w:ascii="Times New Roman" w:cs="Times New Roman" w:eastAsia="Times New Roman" w:hAnsi="Times New Roman"/>
        </w:rPr>
        <w:t xml:space="preserve">We conducted a paired evaluation of two configurations of the same RAG assistant (primary analysis), followed by an exploratory qualitative comparison on clinical questions (secondary analysis). Reporting follows the TRIPOD-LLM guideline where applicable [22]; the completed checklist is provided in Multimedia Appendix 1 (Table S6).</w:t>
      </w:r>
    </w:p>
    <w:p>
      <w:pPr>
        <w:pStyle w:val="Heading2"/>
        <w:spacing w:after="100" w:before="200" w:line="480"/>
      </w:pPr>
      <w:r>
        <w:rPr>
          <w:rFonts w:ascii="Times New Roman" w:cs="Times New Roman" w:eastAsia="Times New Roman" w:hAnsi="Times New Roman"/>
          <w:b/>
          <w:bCs/>
          <w:i/>
          <w:iCs/>
          <w:sz w:val="24"/>
          <w:szCs w:val="24"/>
        </w:rPr>
        <w:t xml:space="preserve">RAG Configuration</w:t>
      </w:r>
    </w:p>
    <w:p>
      <w:pPr>
        <w:spacing w:after="120" w:line="480"/>
        <w:jc w:val="left"/>
      </w:pPr>
      <w:r>
        <w:rPr>
          <w:rFonts w:ascii="Times New Roman" w:cs="Times New Roman" w:eastAsia="Times New Roman" w:hAnsi="Times New Roman"/>
        </w:rPr>
        <w:t xml:space="preserve">Both assistants used GPT-4o (OpenAI; model snapshot </w:t>
      </w:r>
      <w:r>
        <w:rPr>
          <w:rFonts w:ascii="Times New Roman" w:cs="Times New Roman" w:eastAsia="Times New Roman" w:hAnsi="Times New Roman"/>
          <w:b/>
          <w:bCs/>
        </w:rPr>
        <w:t xml:space="preserve">[AUTHORS: e.g., gpt-4o-2024-08-06]</w:t>
      </w:r>
      <w:r>
        <w:rPr>
          <w:rFonts w:ascii="Times New Roman" w:cs="Times New Roman" w:eastAsia="Times New Roman" w:hAnsi="Times New Roman"/>
        </w:rPr>
        <w:t xml:space="preserve">) through the Assistants application programming interface with the File Search tool. Sources were uploaded to a separate vector store for each arm using </w:t>
      </w:r>
      <w:r>
        <w:rPr>
          <w:rFonts w:ascii="Times New Roman" w:cs="Times New Roman" w:eastAsia="Times New Roman" w:hAnsi="Times New Roman"/>
          <w:b/>
          <w:bCs/>
        </w:rPr>
        <w:t xml:space="preserve">[AUTHORS: default chunking, 800 tokens with 400-token overlap, and maximum number of retrieved chunks; confirm]</w:t>
      </w:r>
      <w:r>
        <w:rPr>
          <w:rFonts w:ascii="Times New Roman" w:cs="Times New Roman" w:eastAsia="Times New Roman" w:hAnsi="Times New Roman"/>
        </w:rPr>
        <w:t xml:space="preserve">. Temperature was 0 and top-p 1. Both assistants used the identical system prompt (Multimedia Appendix 1, Appendix S1), which restricted answers to the loaded sources, specified a source hierarchy (guidelines; randomised trials and meta-analyses; validated prediction models; narrative or secondary sources), prohibited inventing or computing missing numerical data, required listing of the sources used and required predefined phrases when information was insufficient or out of scope. Each question was submitted once per arm in a new conversation thread </w:t>
      </w:r>
      <w:r>
        <w:rPr>
          <w:rFonts w:ascii="Times New Roman" w:cs="Times New Roman" w:eastAsia="Times New Roman" w:hAnsi="Times New Roman"/>
          <w:b/>
          <w:bCs/>
        </w:rPr>
        <w:t xml:space="preserve">[AUTHORS: confirm]</w:t>
      </w:r>
      <w:r>
        <w:rPr>
          <w:rFonts w:ascii="Times New Roman" w:cs="Times New Roman" w:eastAsia="Times New Roman" w:hAnsi="Times New Roman"/>
        </w:rPr>
        <w:t xml:space="preserve"> between </w:t>
      </w:r>
      <w:r>
        <w:rPr>
          <w:rFonts w:ascii="Times New Roman" w:cs="Times New Roman" w:eastAsia="Times New Roman" w:hAnsi="Times New Roman"/>
          <w:b/>
          <w:bCs/>
        </w:rPr>
        <w:t xml:space="preserve">[AUTHORS: dates]</w:t>
      </w:r>
      <w:r>
        <w:rPr>
          <w:rFonts w:ascii="Times New Roman" w:cs="Times New Roman" w:eastAsia="Times New Roman" w:hAnsi="Times New Roman"/>
        </w:rPr>
        <w:t xml:space="preserve">.</w:t>
      </w:r>
    </w:p>
    <w:p>
      <w:pPr>
        <w:pStyle w:val="Heading2"/>
        <w:spacing w:after="100" w:before="200" w:line="480"/>
      </w:pPr>
      <w:r>
        <w:rPr>
          <w:rFonts w:ascii="Times New Roman" w:cs="Times New Roman" w:eastAsia="Times New Roman" w:hAnsi="Times New Roman"/>
          <w:b/>
          <w:bCs/>
          <w:i/>
          <w:iCs/>
          <w:sz w:val="24"/>
          <w:szCs w:val="24"/>
        </w:rPr>
        <w:t xml:space="preserve">Source Corpus and Curation</w:t>
      </w:r>
    </w:p>
    <w:p>
      <w:pPr>
        <w:spacing w:after="120" w:line="480"/>
        <w:jc w:val="left"/>
      </w:pPr>
      <w:r>
        <w:rPr>
          <w:rFonts w:ascii="Times New Roman" w:cs="Times New Roman" w:eastAsia="Times New Roman" w:hAnsi="Times New Roman"/>
        </w:rPr>
        <w:t xml:space="preserve">Twelve sources were selected for clinical relevance and documentary complexity: three guidelines, two randomised trials, four systematic reviews or meta-analyses and three prediction-model studies (Table 1) [5–9,11–16,21]. In the control arm, the original PDF files (≈7 MB) were uploaded unchanged. In the experimental arm, a pediatric urologist (G.A.Z.C.) produced structured-text versions of the same 12 sources (≈305 KB) </w:t>
      </w:r>
      <w:r>
        <w:rPr>
          <w:rFonts w:ascii="Times New Roman" w:cs="Times New Roman" w:eastAsia="Times New Roman" w:hAnsi="Times New Roman"/>
          <w:b/>
          <w:bCs/>
        </w:rPr>
        <w:t xml:space="preserve">[AUTHORS: time spent and whether a second person verified the curated files against the originals]</w:t>
      </w:r>
      <w:r>
        <w:rPr>
          <w:rFonts w:ascii="Times New Roman" w:cs="Times New Roman" w:eastAsia="Times New Roman" w:hAnsi="Times New Roman"/>
        </w:rPr>
        <w:t xml:space="preserve">. Curation converted tables into explicit line-by-line statements, linked each numerical estimate to its outcome, population and statistical measure, rewrote scores and flowcharts as stepwise text, preserved operational definitions, stated limitations relevant to interpretation and removed duplicated or non-relevant content.</w:t>
      </w:r>
    </w:p>
    <w:p>
      <w:pPr>
        <w:spacing w:after="120" w:line="480"/>
        <w:jc w:val="left"/>
      </w:pPr>
      <w:r>
        <w:rPr>
          <w:rFonts w:ascii="Times New Roman" w:cs="Times New Roman" w:eastAsia="Times New Roman" w:hAnsi="Times New Roman"/>
        </w:rPr>
        <w:t xml:space="preserve">The experimental intervention is therefore a bundle of content restructuring, format change and a 23-fold reduction in corpus size. The design estimates the effect of this bundle as a whole and cannot attribute it to any single component.</w:t>
      </w:r>
    </w:p>
    <w:p>
      <w:pPr>
        <w:pStyle w:val="Heading2"/>
        <w:spacing w:after="100" w:before="200" w:line="480"/>
      </w:pPr>
      <w:r>
        <w:rPr>
          <w:rFonts w:ascii="Times New Roman" w:cs="Times New Roman" w:eastAsia="Times New Roman" w:hAnsi="Times New Roman"/>
          <w:b/>
          <w:bCs/>
          <w:i/>
          <w:iCs/>
          <w:sz w:val="24"/>
          <w:szCs w:val="24"/>
        </w:rPr>
        <w:t xml:space="preserve">Question Bank</w:t>
      </w:r>
    </w:p>
    <w:p>
      <w:pPr>
        <w:spacing w:after="120" w:line="480"/>
        <w:jc w:val="left"/>
      </w:pPr>
      <w:r>
        <w:rPr>
          <w:rFonts w:ascii="Times New Roman" w:cs="Times New Roman" w:eastAsia="Times New Roman" w:hAnsi="Times New Roman"/>
        </w:rPr>
        <w:t xml:space="preserve">A 50-item question bank with predefined expected answers was developed by </w:t>
      </w:r>
      <w:r>
        <w:rPr>
          <w:rFonts w:ascii="Times New Roman" w:cs="Times New Roman" w:eastAsia="Times New Roman" w:hAnsi="Times New Roman"/>
          <w:b/>
          <w:bCs/>
        </w:rPr>
        <w:t xml:space="preserve">[AUTHORS: who]</w:t>
      </w:r>
      <w:r>
        <w:rPr>
          <w:rFonts w:ascii="Times New Roman" w:cs="Times New Roman" w:eastAsia="Times New Roman" w:hAnsi="Times New Roman"/>
        </w:rPr>
        <w:t xml:space="preserve"> </w:t>
      </w:r>
      <w:r>
        <w:rPr>
          <w:rFonts w:ascii="Times New Roman" w:cs="Times New Roman" w:eastAsia="Times New Roman" w:hAnsi="Times New Roman"/>
          <w:b/>
          <w:bCs/>
        </w:rPr>
        <w:t xml:space="preserve">[AUTHORS: before any assistant was queried; confirm]</w:t>
      </w:r>
      <w:r>
        <w:rPr>
          <w:rFonts w:ascii="Times New Roman" w:cs="Times New Roman" w:eastAsia="Times New Roman" w:hAnsi="Times New Roman"/>
        </w:rPr>
        <w:t xml:space="preserve">. Items were deliberately targeted at information expected to be difficult to recover from PDFs: numerical extraction (n=29), directed interpretation (n=6), study design (n=6), definitions (n=3), score components (n=3), algorithms (n=2) and mixed extraction-interpretation (n=1); their distribution by source is shown in Table 1. Items tested recovery of source-dependent answers rather than general medical knowledge. Question texts, expected answers and verbatim responses are provided in Multimedia Appendix 1 </w:t>
      </w:r>
      <w:r>
        <w:rPr>
          <w:rFonts w:ascii="Times New Roman" w:cs="Times New Roman" w:eastAsia="Times New Roman" w:hAnsi="Times New Roman"/>
          <w:b/>
          <w:bCs/>
        </w:rPr>
        <w:t xml:space="preserve">[AUTHORS: add if not yet included]</w:t>
      </w:r>
      <w:r>
        <w:rPr>
          <w:rFonts w:ascii="Times New Roman" w:cs="Times New Roman" w:eastAsia="Times New Roman" w:hAnsi="Times New Roman"/>
        </w:rPr>
        <w:t xml:space="preserve">.</w:t>
      </w:r>
    </w:p>
    <w:p>
      <w:pPr>
        <w:pStyle w:val="Heading2"/>
        <w:spacing w:after="100" w:before="200" w:line="480"/>
      </w:pPr>
      <w:r>
        <w:rPr>
          <w:rFonts w:ascii="Times New Roman" w:cs="Times New Roman" w:eastAsia="Times New Roman" w:hAnsi="Times New Roman"/>
          <w:b/>
          <w:bCs/>
          <w:i/>
          <w:iCs/>
          <w:sz w:val="24"/>
          <w:szCs w:val="24"/>
        </w:rPr>
        <w:t xml:space="preserve">Outcomes and Scoring</w:t>
      </w:r>
    </w:p>
    <w:p>
      <w:pPr>
        <w:spacing w:after="120" w:line="480"/>
        <w:jc w:val="left"/>
      </w:pPr>
      <w:r>
        <w:rPr>
          <w:rFonts w:ascii="Times New Roman" w:cs="Times New Roman" w:eastAsia="Times New Roman" w:hAnsi="Times New Roman"/>
        </w:rPr>
        <w:t xml:space="preserve">Each answer was scored 0 (incorrect, invented or key datum missing), 1 (partially correct) or 2 (correct datum, outcome, measure and interpretation). The primary outcome was the item score; secondary outcomes were the proportion of completely correct answers (score 2), major errors and the direction of discordant items. Major errors were prespecified as invented numerical values, confusion between effect measures, confusion between clinically distinct outcomes (eg, recurrent UTI vs renal scarring, or radiological resolution vs UTI reduction), attribution to the wrong source, or a conclusion opposite to the source.</w:t>
      </w:r>
    </w:p>
    <w:p>
      <w:pPr>
        <w:spacing w:after="120" w:line="480"/>
        <w:jc w:val="left"/>
      </w:pPr>
      <w:r>
        <w:rPr>
          <w:rFonts w:ascii="Times New Roman" w:cs="Times New Roman" w:eastAsia="Times New Roman" w:hAnsi="Times New Roman"/>
        </w:rPr>
        <w:t xml:space="preserve">The primary scoring was performed by G.A.Z.C. A second co-investigator (A.Z.M.) independently re-scored all 100 answers with the same rubric, blinded to arm assignment; </w:t>
      </w:r>
      <w:r>
        <w:rPr>
          <w:rFonts w:ascii="Times New Roman" w:cs="Times New Roman" w:eastAsia="Times New Roman" w:hAnsi="Times New Roman"/>
          <w:b/>
          <w:bCs/>
        </w:rPr>
        <w:t xml:space="preserve">[AUTHORS: describe how arm-revealing cues such as file names or citation formats were removed, and whether answers were presented in random order]</w:t>
      </w:r>
      <w:r>
        <w:rPr>
          <w:rFonts w:ascii="Times New Roman" w:cs="Times New Roman" w:eastAsia="Times New Roman" w:hAnsi="Times New Roman"/>
        </w:rPr>
        <w:t xml:space="preserve">. Arm labels were revealed after scoring was complete.</w:t>
      </w:r>
    </w:p>
    <w:p>
      <w:pPr>
        <w:pStyle w:val="Heading2"/>
        <w:spacing w:after="100" w:before="200" w:line="480"/>
      </w:pPr>
      <w:r>
        <w:rPr>
          <w:rFonts w:ascii="Times New Roman" w:cs="Times New Roman" w:eastAsia="Times New Roman" w:hAnsi="Times New Roman"/>
          <w:b/>
          <w:bCs/>
          <w:i/>
          <w:iCs/>
          <w:sz w:val="24"/>
          <w:szCs w:val="24"/>
        </w:rPr>
        <w:t xml:space="preserve">Statistical Analysis</w:t>
      </w:r>
    </w:p>
    <w:p>
      <w:pPr>
        <w:spacing w:after="120" w:line="480"/>
        <w:jc w:val="left"/>
      </w:pPr>
      <w:r>
        <w:rPr>
          <w:rFonts w:ascii="Times New Roman" w:cs="Times New Roman" w:eastAsia="Times New Roman" w:hAnsi="Times New Roman"/>
        </w:rPr>
        <w:t xml:space="preserve">Comparisons were paired by item. Item scores were compared with the Wilcoxon signed-rank test (zero differences excluded, normal approximation), with the exact conditional test as a sensitivity analysis; the mean paired difference is reported with a percentile bootstrap 95% CI (20,000 resamples). Completely correct answers were compared with the exact McNemar test, and the paired difference in proportions is reported with the Newcombe hybrid score 95% CI. Fragility was defined as the minimum number of improved items that would need to be reclassified as tied for the McNemar test to lose significance at α=.05. Inter-rater agreement was assessed with exact agreement and quadratic-weighted Cohen κ (prespecified threshold ≥0.61). Major errors were analysed descriptively. Tests were two-sided with α=.05. Analyses were performed in Python 3 (SciPy and scikit-learn).</w:t>
      </w:r>
    </w:p>
    <w:p>
      <w:pPr>
        <w:pStyle w:val="Heading2"/>
        <w:spacing w:after="100" w:before="200" w:line="480"/>
      </w:pPr>
      <w:r>
        <w:rPr>
          <w:rFonts w:ascii="Times New Roman" w:cs="Times New Roman" w:eastAsia="Times New Roman" w:hAnsi="Times New Roman"/>
          <w:b/>
          <w:bCs/>
          <w:i/>
          <w:iCs/>
          <w:sz w:val="24"/>
          <w:szCs w:val="24"/>
        </w:rPr>
        <w:t xml:space="preserve">Exploratory Clinical Comparison</w:t>
      </w:r>
    </w:p>
    <w:p>
      <w:pPr>
        <w:spacing w:after="120" w:line="480"/>
        <w:jc w:val="left"/>
      </w:pPr>
      <w:r>
        <w:rPr>
          <w:rFonts w:ascii="Times New Roman" w:cs="Times New Roman" w:eastAsia="Times New Roman" w:hAnsi="Times New Roman"/>
        </w:rPr>
        <w:t xml:space="preserve">The clinical comparator was a structured survey of 30 pediatric urologists from the Ibero-American Society of Pediatric Urology (SIUP), all with more than 10 years of clinical practice </w:t>
      </w:r>
      <w:r>
        <w:rPr>
          <w:rFonts w:ascii="Times New Roman" w:cs="Times New Roman" w:eastAsia="Times New Roman" w:hAnsi="Times New Roman"/>
          <w:b/>
          <w:bCs/>
        </w:rPr>
        <w:t xml:space="preserve">[AUTHORS: survey dates, mode of administration, recruitment, number invited and response rate]</w:t>
      </w:r>
      <w:r>
        <w:rPr>
          <w:rFonts w:ascii="Times New Roman" w:cs="Times New Roman" w:eastAsia="Times New Roman" w:hAnsi="Times New Roman"/>
        </w:rPr>
        <w:t xml:space="preserve">. The 11 questions common to the survey and the AI evaluation were analysed; no other question was added. The same questions were answered by Open Evidence </w:t>
      </w:r>
      <w:r>
        <w:rPr>
          <w:rFonts w:ascii="Times New Roman" w:cs="Times New Roman" w:eastAsia="Times New Roman" w:hAnsi="Times New Roman"/>
          <w:b/>
          <w:bCs/>
        </w:rPr>
        <w:t xml:space="preserve">[AUTHORS: query dates]</w:t>
      </w:r>
      <w:r>
        <w:rPr>
          <w:rFonts w:ascii="Times New Roman" w:cs="Times New Roman" w:eastAsia="Times New Roman" w:hAnsi="Times New Roman"/>
        </w:rPr>
        <w:t xml:space="preserve">, in open-answer and forced-choice formats when available, and by the curated-text assistant described above.</w:t>
      </w:r>
    </w:p>
    <w:p>
      <w:pPr>
        <w:spacing w:after="120" w:line="480"/>
        <w:jc w:val="left"/>
      </w:pPr>
      <w:r>
        <w:rPr>
          <w:rFonts w:ascii="Times New Roman" w:cs="Times New Roman" w:eastAsia="Times New Roman" w:hAnsi="Times New Roman"/>
        </w:rPr>
        <w:t xml:space="preserve">Responses were adjudicated by the developers of the assistant against a predefined evidence hierarchy: current guidelines and radiological appropriateness criteria for clinical and imaging recommendations; randomised trials, systematic reviews and meta-analyses for benefits and harms; prediction models for prognosis only; and narrative reviews for context. In addition to the corpus, adjudication drew on the Cochrane review of interventions for primary VUR, the ACR Appropriateness Criteria, a Lancet review and the VURx index [10,18–20], which were not in the assistant corpus when responses were generated. Each response was classified as fully aligned, partially aligned, oversimplified, discordant, uncertainty-aware, or not adjudicable when options did not map onto guideline recommendations (Multimedia Appendix 1, Tables S4 and S5). Adjudication was not blinded to the source of each response, and the assistant prompt encoded the same source hierarchy used for adjudication; this phase was therefore designed to generate hypotheses, not to test superiority.</w:t>
      </w:r>
    </w:p>
    <w:p>
      <w:pPr>
        <w:pStyle w:val="Heading2"/>
        <w:spacing w:after="100" w:before="200" w:line="480"/>
      </w:pPr>
      <w:r>
        <w:rPr>
          <w:rFonts w:ascii="Times New Roman" w:cs="Times New Roman" w:eastAsia="Times New Roman" w:hAnsi="Times New Roman"/>
          <w:b/>
          <w:bCs/>
          <w:i/>
          <w:iCs/>
          <w:sz w:val="24"/>
          <w:szCs w:val="24"/>
        </w:rPr>
        <w:t xml:space="preserve">Ethical Considerations</w:t>
      </w:r>
    </w:p>
    <w:p>
      <w:pPr>
        <w:spacing w:after="120" w:line="480"/>
        <w:jc w:val="left"/>
      </w:pPr>
      <w:r>
        <w:rPr>
          <w:rFonts w:ascii="Times New Roman" w:cs="Times New Roman" w:eastAsia="Times New Roman" w:hAnsi="Times New Roman"/>
        </w:rPr>
        <w:t xml:space="preserve">The study used published literature and aggregated anonymous responses from a voluntary professional survey; no patient data were used. The Ethics Committee of Virgen de la Arrixaca University Hospital (Murcia, Spain) granted exemption from formal review </w:t>
      </w:r>
      <w:r>
        <w:rPr>
          <w:rFonts w:ascii="Times New Roman" w:cs="Times New Roman" w:eastAsia="Times New Roman" w:hAnsi="Times New Roman"/>
          <w:b/>
          <w:bCs/>
        </w:rPr>
        <w:t xml:space="preserve">[AUTHORS: reference number, if any]</w:t>
      </w:r>
      <w:r>
        <w:rPr>
          <w:rFonts w:ascii="Times New Roman" w:cs="Times New Roman" w:eastAsia="Times New Roman" w:hAnsi="Times New Roman"/>
        </w:rPr>
        <w:t xml:space="preserve">. Survey participants were informed of the purpose of the survey and consent was implied by completion </w:t>
      </w:r>
      <w:r>
        <w:rPr>
          <w:rFonts w:ascii="Times New Roman" w:cs="Times New Roman" w:eastAsia="Times New Roman" w:hAnsi="Times New Roman"/>
          <w:b/>
          <w:bCs/>
        </w:rPr>
        <w:t xml:space="preserve">[AUTHORS: confirm]</w:t>
      </w:r>
      <w:r>
        <w:rPr>
          <w:rFonts w:ascii="Times New Roman" w:cs="Times New Roman" w:eastAsia="Times New Roman" w:hAnsi="Times New Roman"/>
        </w:rPr>
        <w:t xml:space="preserve">. No compensation was offered.</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00" w:before="200" w:line="480"/>
      </w:pPr>
      <w:r>
        <w:rPr>
          <w:rFonts w:ascii="Times New Roman" w:cs="Times New Roman" w:eastAsia="Times New Roman" w:hAnsi="Times New Roman"/>
          <w:b/>
          <w:bCs/>
          <w:i/>
          <w:iCs/>
          <w:sz w:val="24"/>
          <w:szCs w:val="24"/>
        </w:rPr>
        <w:t xml:space="preserve">Primary Analysis: Curated Text Versus Original PDFs</w:t>
      </w:r>
    </w:p>
    <w:p>
      <w:pPr>
        <w:spacing w:after="120" w:line="480"/>
        <w:jc w:val="left"/>
      </w:pPr>
      <w:r>
        <w:rPr>
          <w:rFonts w:ascii="Times New Roman" w:cs="Times New Roman" w:eastAsia="Times New Roman" w:hAnsi="Times New Roman"/>
        </w:rPr>
        <w:t xml:space="preserve">Across 50 paired items, the curated arm scored 94/100 and the PDF arm 84/100 (Table 2). The mean item score was 1.88 (SD 0.33) versus 1.68 (SD 0.55), a mean paired difference of 0.20 points (95% CI 0.06–0.36; Wilcoxon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exact conditional </w:t>
      </w:r>
      <w:r>
        <w:rPr>
          <w:rFonts w:ascii="Times New Roman" w:cs="Times New Roman" w:eastAsia="Times New Roman" w:hAnsi="Times New Roman"/>
          <w:i/>
          <w:iCs/>
        </w:rPr>
        <w:t xml:space="preserve">P</w:t>
      </w:r>
      <w:r>
        <w:rPr>
          <w:rFonts w:ascii="Times New Roman" w:cs="Times New Roman" w:eastAsia="Times New Roman" w:hAnsi="Times New Roman"/>
        </w:rPr>
        <w:t xml:space="preserve">=.03). Completely correct answers increased from 36/50 (72%) to 44/50 (88%), a difference of 16 percentage points (95% CI 2–30; exact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=.04). Both arms answered 34 items completely correctly and neither did so in 4 items.</w:t>
      </w:r>
    </w:p>
    <w:p>
      <w:pPr>
        <w:spacing w:after="120" w:line="480"/>
        <w:jc w:val="left"/>
      </w:pPr>
      <w:r>
        <w:rPr>
          <w:rFonts w:ascii="Times New Roman" w:cs="Times New Roman" w:eastAsia="Times New Roman" w:hAnsi="Times New Roman"/>
        </w:rPr>
        <w:t xml:space="preserve">The curated arm scored higher in 10 items, equal in 38 and lower in 2 (Table 3). Improvements occurred in numerical extraction (5 items, including the only two items scored 0 in the PDF arm, from the EAU/ESPU guideline and a meta-analysis), definitions (2), interpretation (2) and study design (1), across 6 of the 12 sources. Both items favouring the PDF arm were guideline flowchart questions. </w:t>
      </w:r>
      <w:r>
        <w:rPr>
          <w:rFonts w:ascii="Times New Roman" w:cs="Times New Roman" w:eastAsia="Times New Roman" w:hAnsi="Times New Roman"/>
          <w:b/>
          <w:bCs/>
        </w:rPr>
        <w:t xml:space="preserve">[AUTHORS: confirm that the two retrieval failures described in the text are P01 and P17, and identify the items containing major errors]</w:t>
      </w:r>
      <w:r>
        <w:rPr>
          <w:rFonts w:ascii="Times New Roman" w:cs="Times New Roman" w:eastAsia="Times New Roman" w:hAnsi="Times New Roman"/>
        </w:rPr>
        <w:t xml:space="preserve"> Major errors occurred in 2/50 PDF-arm and 1/50 curated-arm answers.</w:t>
      </w:r>
    </w:p>
    <w:p>
      <w:pPr>
        <w:spacing w:after="120" w:line="480"/>
        <w:jc w:val="left"/>
      </w:pPr>
      <w:r>
        <w:rPr>
          <w:rFonts w:ascii="Times New Roman" w:cs="Times New Roman" w:eastAsia="Times New Roman" w:hAnsi="Times New Roman"/>
        </w:rPr>
        <w:t xml:space="preserve">The result was fragile: reclassifying one of the 10 improved items as tied would increase the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 value to .07.</w:t>
      </w:r>
    </w:p>
    <w:p>
      <w:pPr>
        <w:pStyle w:val="Heading2"/>
        <w:spacing w:after="100" w:before="200" w:line="480"/>
      </w:pPr>
      <w:r>
        <w:rPr>
          <w:rFonts w:ascii="Times New Roman" w:cs="Times New Roman" w:eastAsia="Times New Roman" w:hAnsi="Times New Roman"/>
          <w:b/>
          <w:bCs/>
          <w:i/>
          <w:iCs/>
          <w:sz w:val="24"/>
          <w:szCs w:val="24"/>
        </w:rPr>
        <w:t xml:space="preserve">Blinded Re-scoring</w:t>
      </w:r>
    </w:p>
    <w:p>
      <w:pPr>
        <w:spacing w:after="120" w:line="480"/>
        <w:jc w:val="left"/>
      </w:pPr>
      <w:r>
        <w:rPr>
          <w:rFonts w:ascii="Times New Roman" w:cs="Times New Roman" w:eastAsia="Times New Roman" w:hAnsi="Times New Roman"/>
        </w:rPr>
        <w:t xml:space="preserve">Blinded re-scoring gave 82/100 for the PDF arm and 93/100 for the curated arm, with 34/50 (68%) and 43/50 (86%) completely correct answers (difference 18 percentage points, 95% CI 4–32; exact McNemar </w:t>
      </w:r>
      <w:r>
        <w:rPr>
          <w:rFonts w:ascii="Times New Roman" w:cs="Times New Roman" w:eastAsia="Times New Roman" w:hAnsi="Times New Roman"/>
          <w:i/>
          <w:iCs/>
        </w:rPr>
        <w:t xml:space="preserve">P</w:t>
      </w:r>
      <w:r>
        <w:rPr>
          <w:rFonts w:ascii="Times New Roman" w:cs="Times New Roman" w:eastAsia="Times New Roman" w:hAnsi="Times New Roman"/>
        </w:rPr>
        <w:t xml:space="preserve">=.02); 11 items favoured the curated arm and 2 the PDF arm. Exact agreement between raters was 92% (PDF arm) and 94% (curated arm), with quadratic-weighted κ of 0.87 and 0.74, respectively. All 4 discordant ratings were single-point differences in completeness; 2 (P10 and P26) reversed the direction of the within-item comparison, and none involved a major error or an opposite clinical conclusion (Multimedia Appendix 1, Table S3).</w:t>
      </w:r>
    </w:p>
    <w:p>
      <w:pPr>
        <w:pStyle w:val="Heading2"/>
        <w:spacing w:after="100" w:before="200" w:line="480"/>
      </w:pPr>
      <w:r>
        <w:rPr>
          <w:rFonts w:ascii="Times New Roman" w:cs="Times New Roman" w:eastAsia="Times New Roman" w:hAnsi="Times New Roman"/>
          <w:b/>
          <w:bCs/>
          <w:i/>
          <w:iCs/>
          <w:sz w:val="24"/>
          <w:szCs w:val="24"/>
        </w:rPr>
        <w:t xml:space="preserve">Exploratory Clinical Comparison</w:t>
      </w:r>
    </w:p>
    <w:p>
      <w:pPr>
        <w:spacing w:after="120" w:line="480"/>
        <w:jc w:val="left"/>
      </w:pPr>
      <w:r>
        <w:rPr>
          <w:rFonts w:ascii="Times New Roman" w:cs="Times New Roman" w:eastAsia="Times New Roman" w:hAnsi="Times New Roman"/>
        </w:rPr>
        <w:t xml:space="preserve">Expert practice was heterogeneous in several of the 11 scenarios, and AI responses varied by tool and by response format (Table 4). Open Evidence frequently selected the option closest to expert majority but did not consistently state whether its answer derived from a current guideline, an older recommendation or a narrower criterion. For cystography after a first febrile UTI (P1), Open Evidence selected the ultrasound-abnormality criterion; the curated assistant classified this option as valid but incomplete, because the corpus guidelines also include atypical UTI and other risk criteria [5,7,18,19]. For the timing of follow-up cystography under prophylaxis (P4–P5), no guideline specifies a single interval, and the curated assistant stated that fixed-timing options were not guideline-specified [5,6,19]. For persistent grade IV–V reflux (P8) and differential renal uptake below 10% (P9–P11), the adjudicated answer depended on whether the question asked about surveillance or about disease-correcting or definitive treatment [5,6,10,15].</w:t>
      </w:r>
    </w:p>
    <w:p>
      <w:pPr>
        <w:pStyle w:val="Heading1"/>
        <w:spacing w:after="120" w:before="240" w:line="480"/>
      </w:pPr>
      <w:r>
        <w:rPr>
          <w:rFonts w:ascii="Times New Roman" w:cs="Times New Roman" w:eastAsia="Times New Roman" w:hAnsi="Times New Roman"/>
          <w:b/>
          <w:bCs/>
          <w:sz w:val="26"/>
          <w:szCs w:val="26"/>
        </w:rPr>
        <w:t xml:space="preserve">Discussion</w:t>
      </w:r>
    </w:p>
    <w:p>
      <w:pPr>
        <w:pStyle w:val="Heading2"/>
        <w:spacing w:after="100" w:before="200" w:line="480"/>
      </w:pPr>
      <w:r>
        <w:rPr>
          <w:rFonts w:ascii="Times New Roman" w:cs="Times New Roman" w:eastAsia="Times New Roman" w:hAnsi="Times New Roman"/>
          <w:b/>
          <w:bCs/>
          <w:i/>
          <w:iCs/>
          <w:sz w:val="24"/>
          <w:szCs w:val="24"/>
        </w:rPr>
        <w:t xml:space="preserve">Principal Findings</w:t>
      </w:r>
    </w:p>
    <w:p>
      <w:pPr>
        <w:spacing w:after="120" w:line="480"/>
        <w:jc w:val="left"/>
      </w:pPr>
      <w:r>
        <w:rPr>
          <w:rFonts w:ascii="Times New Roman" w:cs="Times New Roman" w:eastAsia="Times New Roman" w:hAnsi="Times New Roman"/>
        </w:rPr>
        <w:t xml:space="preserve">With the model, prompt, retrieval tool and questions held constant, manual curation of 12 pediatric VUR/UTI sources improved the accuracy of a RAG assistant by 16 percentage points in completely correct answers. The direction of the effect was reproduced by a blinded second rater, but its statistical significance rested on a small number of discordant items. The gains concentrated on numerical data from guideline tables and meta-analyses, whereas converting flowcharts to text worsened two answers. In an exploratory comparison, agreement with expert majority, agreement between AI tools and guideline-based alignment did not coincide.</w:t>
      </w:r>
    </w:p>
    <w:p>
      <w:pPr>
        <w:pStyle w:val="Heading2"/>
        <w:spacing w:after="100" w:before="200" w:line="480"/>
      </w:pPr>
      <w:r>
        <w:rPr>
          <w:rFonts w:ascii="Times New Roman" w:cs="Times New Roman" w:eastAsia="Times New Roman" w:hAnsi="Times New Roman"/>
          <w:b/>
          <w:bCs/>
          <w:i/>
          <w:iCs/>
          <w:sz w:val="24"/>
          <w:szCs w:val="24"/>
        </w:rPr>
        <w:t xml:space="preserve">Comparison With Prior Work</w:t>
      </w:r>
    </w:p>
    <w:p>
      <w:pPr>
        <w:spacing w:after="120" w:line="480"/>
        <w:jc w:val="left"/>
      </w:pPr>
      <w:r>
        <w:rPr>
          <w:rFonts w:ascii="Times New Roman" w:cs="Times New Roman" w:eastAsia="Times New Roman" w:hAnsi="Times New Roman"/>
        </w:rPr>
        <w:t xml:space="preserve">Engineering reports have described the difficulty of building RAG systems from PDFs and the loss of structure in tables [4,17], and medical RAG benchmarks have shown that pipeline components other than the model strongly influence accuracy [2,3]. Our study adds a paired, domain-specific estimate of the effect of document preparation in a clinical specialty, with blinded re-scoring. The observation that some PDF-arm failures occurred although the datum was present in the source supports the interpretation that part of the effect reflects retrieval of tabulated content rather than missing evidence. The flowchart items show that curation is itself an error-prone step that needs verification.</w:t>
      </w:r>
    </w:p>
    <w:p>
      <w:pPr>
        <w:pStyle w:val="Heading2"/>
        <w:spacing w:after="100" w:before="200" w:line="480"/>
      </w:pPr>
      <w:r>
        <w:rPr>
          <w:rFonts w:ascii="Times New Roman" w:cs="Times New Roman" w:eastAsia="Times New Roman" w:hAnsi="Times New Roman"/>
          <w:b/>
          <w:bCs/>
          <w:i/>
          <w:iCs/>
          <w:sz w:val="24"/>
          <w:szCs w:val="24"/>
        </w:rPr>
        <w:t xml:space="preserve">Implications</w:t>
      </w:r>
    </w:p>
    <w:p>
      <w:pPr>
        <w:spacing w:after="120" w:line="480"/>
        <w:jc w:val="left"/>
      </w:pPr>
      <w:r>
        <w:rPr>
          <w:rFonts w:ascii="Times New Roman" w:cs="Times New Roman" w:eastAsia="Times New Roman" w:hAnsi="Times New Roman"/>
        </w:rPr>
        <w:t xml:space="preserve">For clinicians and institutions building RAG tools, including consumer tools that accept uploaded PDFs, document preparation should be considered part of the system: tabulated numerical results benefit from explicit restatement, flowcharts need careful conversion and checking, and the preparation process should be documented and versioned. For evaluators, the exploratory phase suggests that forced-choice accuracy and agreement with expert majority are insufficient endpoints for guideline-dependent questions, because correct answers may depend on whether a question concerns surveillance or treatment, or may not exist as a single option. These observations are hypotheses for future blinded studies, not evidence of clinical benefit.</w:t>
      </w:r>
    </w:p>
    <w:p>
      <w:pPr>
        <w:pStyle w:val="Heading2"/>
        <w:spacing w:after="100" w:before="200" w:line="480"/>
      </w:pPr>
      <w:r>
        <w:rPr>
          <w:rFonts w:ascii="Times New Roman" w:cs="Times New Roman" w:eastAsia="Times New Roman" w:hAnsi="Times New Roman"/>
          <w:b/>
          <w:bCs/>
          <w:i/>
          <w:iCs/>
          <w:sz w:val="24"/>
          <w:szCs w:val="24"/>
        </w:rPr>
        <w:t xml:space="preserve">Limitations</w:t>
      </w:r>
    </w:p>
    <w:p>
      <w:pPr>
        <w:spacing w:after="120" w:line="480"/>
        <w:jc w:val="left"/>
      </w:pPr>
      <w:r>
        <w:rPr>
          <w:rFonts w:ascii="Times New Roman" w:cs="Times New Roman" w:eastAsia="Times New Roman" w:hAnsi="Times New Roman"/>
        </w:rPr>
        <w:t xml:space="preserve">This study has important limitations. First, the questions were written by the investigators and deliberately targeted content expected to be difficult to retrieve from PDFs, which favours the curated arm and means that the effect should not be generalised to unselected clinical questions. Second, the intervention bundled content restructuring, format change and a 23-fold reduction in corpus size; a smaller, less noisy corpus may by itself improve retrieval, and a design including plain-text extraction without curation would be needed to separate these components. Third, each item was answered once per arm; LLM outputs vary between runs even at temperature 0, and repeated runs would be needed to separate the curation effect from run-to-run variability. Fourth, the effect was statistically fragile. Fifth, both raters were co-investigators and developers of the system; blinding to arm reduces but does not remove this bias, and independent evaluation is required. Sixth, only one model, one retrieval platform and one domain were tested, and platform parsing and model versions change over time. Finally, the exploratory phase was small, qualitative, unblinded and adjudicated by the developers against the same hierarchy encoded in the assistant prompt, and Open Evidence did not have access to the same corpus; it cannot support conclusions about comparative performance. No patient outcomes were assessed.</w:t>
      </w:r>
    </w:p>
    <w:p>
      <w:pPr>
        <w:pStyle w:val="Heading2"/>
        <w:spacing w:after="100" w:before="200" w:line="480"/>
      </w:pPr>
      <w:r>
        <w:rPr>
          <w:rFonts w:ascii="Times New Roman" w:cs="Times New Roman" w:eastAsia="Times New Roman" w:hAnsi="Times New Roman"/>
          <w:b/>
          <w:bCs/>
          <w:i/>
          <w:iCs/>
          <w:sz w:val="24"/>
          <w:szCs w:val="24"/>
        </w:rPr>
        <w:t xml:space="preserve">Conclusions</w:t>
      </w:r>
    </w:p>
    <w:p>
      <w:pPr>
        <w:spacing w:after="120" w:line="480"/>
        <w:jc w:val="left"/>
      </w:pPr>
      <w:r>
        <w:rPr>
          <w:rFonts w:ascii="Times New Roman" w:cs="Times New Roman" w:eastAsia="Times New Roman" w:hAnsi="Times New Roman"/>
        </w:rPr>
        <w:t xml:space="preserve">In this paired evaluation, manual structured curation of source documents modestly improved the accuracy of a RAG assistant for pediatric VUR/UTI, mainly for tabulated numerical data, while flowchart conversion was a failure point. Document preparation should be validated and reported as a component of clinical RAG systems. Whether curated RAG assistants add value to clinical decision-making requires independent, blinded, repeated-run evaluation against clinically meaningful endpoints.</w:t>
      </w:r>
    </w:p>
    <w:p>
      <w:pPr>
        <w:pStyle w:val="Heading1"/>
        <w:spacing w:after="120" w:before="240" w:line="480"/>
      </w:pPr>
      <w:r>
        <w:rPr>
          <w:rFonts w:ascii="Times New Roman" w:cs="Times New Roman" w:eastAsia="Times New Roman" w:hAnsi="Times New Roman"/>
          <w:b/>
          <w:bCs/>
          <w:sz w:val="26"/>
          <w:szCs w:val="26"/>
        </w:rPr>
        <w:t xml:space="preserve">CRediT authorship contribution statement</w:t>
      </w:r>
    </w:p>
    <w:p>
      <w:pPr>
        <w:spacing w:after="120" w:line="480"/>
        <w:jc w:val="left"/>
      </w:pPr>
      <w:r>
        <w:rPr>
          <w:rFonts w:ascii="Times New Roman" w:cs="Times New Roman" w:eastAsia="Times New Roman" w:hAnsi="Times New Roman"/>
        </w:rPr>
        <w:t xml:space="preserve">Gerardo A. Zambudio-Carmona: Conceptualization, Methodology, Data curation, Software, Investigation, Writing – original draft. Alberto Zambudio-Munuera: Software, Formal analysis, Validation (blinded re-scoring), Writing – original draft, Writing – review &amp; editing. Iván Somoza-Argibay and S. Altamirano: Investigation, Writing – review &amp; editing. </w:t>
      </w:r>
      <w:r>
        <w:rPr>
          <w:rFonts w:ascii="Times New Roman" w:cs="Times New Roman" w:eastAsia="Times New Roman" w:hAnsi="Times New Roman"/>
          <w:b/>
          <w:bCs/>
        </w:rPr>
        <w:t xml:space="preserve">[AUTHORS: confirm]</w:t>
      </w:r>
    </w:p>
    <w:p>
      <w:pPr>
        <w:pStyle w:val="Heading1"/>
        <w:spacing w:after="120" w:before="240" w:line="480"/>
      </w:pPr>
      <w:r>
        <w:rPr>
          <w:rFonts w:ascii="Times New Roman" w:cs="Times New Roman" w:eastAsia="Times New Roman" w:hAnsi="Times New Roman"/>
          <w:b/>
          <w:bCs/>
          <w:sz w:val="26"/>
          <w:szCs w:val="26"/>
        </w:rPr>
        <w:t xml:space="preserve">Declaration of competing interest</w:t>
      </w:r>
    </w:p>
    <w:p>
      <w:pPr>
        <w:spacing w:after="120" w:line="480"/>
        <w:jc w:val="left"/>
      </w:pPr>
      <w:r>
        <w:rPr>
          <w:rFonts w:ascii="Times New Roman" w:cs="Times New Roman" w:eastAsia="Times New Roman" w:hAnsi="Times New Roman"/>
        </w:rPr>
        <w:t xml:space="preserve">G.A.Z.C. and A.Z.M. developed the RAG assistant evaluated in this study and scored the phase 1 answers. The authors declare no financial interests in the assistant or in any commercial AI product mentioned.</w:t>
      </w:r>
    </w:p>
    <w:p>
      <w:pPr>
        <w:pStyle w:val="Heading1"/>
        <w:spacing w:after="120" w:before="240" w:line="480"/>
      </w:pPr>
      <w:r>
        <w:rPr>
          <w:rFonts w:ascii="Times New Roman" w:cs="Times New Roman" w:eastAsia="Times New Roman" w:hAnsi="Times New Roman"/>
          <w:b/>
          <w:bCs/>
          <w:sz w:val="26"/>
          <w:szCs w:val="26"/>
        </w:rPr>
        <w:t xml:space="preserve">Declaration of generative AI and AI-assisted technologies in the manuscript preparation process</w:t>
      </w:r>
    </w:p>
    <w:p>
      <w:pPr>
        <w:spacing w:after="120" w:line="480"/>
        <w:jc w:val="left"/>
      </w:pPr>
      <w:r>
        <w:rPr>
          <w:rFonts w:ascii="Times New Roman" w:cs="Times New Roman" w:eastAsia="Times New Roman" w:hAnsi="Times New Roman"/>
        </w:rPr>
        <w:t xml:space="preserve">During the preparation of this work the authors used ChatGPT (OpenAI) and Claude (Anthropic) to support drafting, language editing and formatting. After using these tools, the authors reviewed and edited the content as needed and take full responsibility for the content of the published article.</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rPr>
        <w:t xml:space="preserve">This research did not receive any specific grant from funding agencies in the public, commercial, or not-for-profit sectors.</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rPr>
        <w:t xml:space="preserve">The system prompt, scoring rubric, item-level scores, inter-rater dataset, question bank, verbatim responses, exploratory comparator dataset and adjudication matrix are provided as supplementary material.</w:t>
      </w:r>
    </w:p>
    <w:p>
      <w:pPr>
        <w:pStyle w:val="Heading1"/>
        <w:spacing w:after="120" w:before="240" w:line="480"/>
      </w:pPr>
      <w:r>
        <w:rPr>
          <w:rFonts w:ascii="Times New Roman" w:cs="Times New Roman" w:eastAsia="Times New Roman" w:hAnsi="Times New Roman"/>
          <w:b/>
          <w:bCs/>
          <w:sz w:val="26"/>
          <w:szCs w:val="26"/>
        </w:rPr>
        <w:t xml:space="preserve">Acknowledgements</w:t>
      </w:r>
    </w:p>
    <w:p>
      <w:pPr>
        <w:spacing w:after="120" w:line="480"/>
        <w:jc w:val="left"/>
      </w:pPr>
      <w:r>
        <w:rPr>
          <w:rFonts w:ascii="Times New Roman" w:cs="Times New Roman" w:eastAsia="Times New Roman" w:hAnsi="Times New Roman"/>
        </w:rPr>
        <w:t xml:space="preserve">The authors thank the members of the Ibero-American Society of Pediatric Urology who participated in the survey.</w:t>
      </w:r>
    </w:p>
    <w:p>
      <w:r>
        <w:br w:type="page"/>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80" w:line="360"/>
        <w:jc w:val="left"/>
      </w:pPr>
      <w:r>
        <w:rPr>
          <w:rFonts w:ascii="Times New Roman" w:cs="Times New Roman" w:eastAsia="Times New Roman" w:hAnsi="Times New Roman"/>
        </w:rPr>
        <w:t xml:space="preserve">[1] Neha F, Bhati D, Shukla DK. Retrieval-augmented generation (RAG) in healthcare: a comprehensive review. AI 2025;6(9):226. https://doi.org/10.3390/ai6090226.</w:t>
      </w:r>
    </w:p>
    <w:p>
      <w:pPr>
        <w:spacing w:after="80" w:line="360"/>
        <w:jc w:val="left"/>
      </w:pPr>
      <w:r>
        <w:rPr>
          <w:rFonts w:ascii="Times New Roman" w:cs="Times New Roman" w:eastAsia="Times New Roman" w:hAnsi="Times New Roman"/>
        </w:rPr>
        <w:t xml:space="preserve">[2] Ceresa M, Bertolini L, Comte V, Spadaro N, Raffael B, Toussaint B, et al. Retrieval augmented generation evaluation for health documents. arXiv Preprint posted online 2025. https://doi.org/10.48550/arXiv.2505.04680.</w:t>
      </w:r>
    </w:p>
    <w:p>
      <w:pPr>
        <w:spacing w:after="80" w:line="360"/>
        <w:jc w:val="left"/>
      </w:pPr>
      <w:r>
        <w:rPr>
          <w:rFonts w:ascii="Times New Roman" w:cs="Times New Roman" w:eastAsia="Times New Roman" w:hAnsi="Times New Roman"/>
        </w:rPr>
        <w:t xml:space="preserve">[3] Xiong G, Jin Q, Lu Z, Zhang A. Benchmarking retrieval-augmented generation for medicine. Findings of the Association for Computational Linguistics: ACL 2024 2024:6233-6251. https://doi.org/10.18653/v1/2024.findings-acl.372.</w:t>
      </w:r>
    </w:p>
    <w:p>
      <w:pPr>
        <w:spacing w:after="80" w:line="360"/>
        <w:jc w:val="left"/>
      </w:pPr>
      <w:r>
        <w:rPr>
          <w:rFonts w:ascii="Times New Roman" w:cs="Times New Roman" w:eastAsia="Times New Roman" w:hAnsi="Times New Roman"/>
        </w:rPr>
        <w:t xml:space="preserve">[4] Khan AA, Hasan MT, Kemell KK, Rasku J, Abrahamsson P. Developing retrieval augmented generation (RAG) based LLM systems from PDFs: an experience report. arXiv Preprint posted online 2024. https://doi.org/10.48550/arXiv.2410.15944.</w:t>
      </w:r>
    </w:p>
    <w:p>
      <w:pPr>
        <w:spacing w:after="80" w:line="360"/>
        <w:jc w:val="left"/>
      </w:pPr>
      <w:r>
        <w:rPr>
          <w:rFonts w:ascii="Times New Roman" w:cs="Times New Roman" w:eastAsia="Times New Roman" w:hAnsi="Times New Roman"/>
        </w:rPr>
        <w:t xml:space="preserve">[5] European Association of Urology. EAU Guidelines on Paediatric Urology. EAU Guidelines Office Arnhem; 2026. ISBN 978-94-92671-32-5 [AUTHORS: edition used in the corpus].</w:t>
      </w:r>
    </w:p>
    <w:p>
      <w:pPr>
        <w:spacing w:after="80" w:line="360"/>
        <w:jc w:val="left"/>
      </w:pPr>
      <w:r>
        <w:rPr>
          <w:rFonts w:ascii="Times New Roman" w:cs="Times New Roman" w:eastAsia="Times New Roman" w:hAnsi="Times New Roman"/>
        </w:rPr>
        <w:t xml:space="preserve">[6] Peters CA, Skoog SJ, Arant BS Jr, Copp HL, Elder JS, Hudson RG, et al. Summary of the AUA guideline on management of primary vesicoureteral reflux in children. J Urol 2010;184(3):1134-1144. https://doi.org/10.1016/j.juro.2010.05.065.</w:t>
      </w:r>
    </w:p>
    <w:p>
      <w:pPr>
        <w:spacing w:after="80" w:line="360"/>
        <w:jc w:val="left"/>
      </w:pPr>
      <w:r>
        <w:rPr>
          <w:rFonts w:ascii="Times New Roman" w:cs="Times New Roman" w:eastAsia="Times New Roman" w:hAnsi="Times New Roman"/>
        </w:rPr>
        <w:t xml:space="preserve">[7] González Rodríguez JD, Fraga Rodríguez GM, García Vera CJ, Gómez Fraile A, Martín Sánchez JI, Mengual Gil JM, et al. Update of the Spanish clinical practice guideline for urinary tract infection in infants and children. Summary of recommendations for diagnosis, treatment and follow-up. An Pediatr (Engl Ed) 2024;101(2):132-144. https://doi.org/10.1016/j.anpede.2024.07.010.</w:t>
      </w:r>
    </w:p>
    <w:p>
      <w:pPr>
        <w:spacing w:after="80" w:line="360"/>
        <w:jc w:val="left"/>
      </w:pPr>
      <w:r>
        <w:rPr>
          <w:rFonts w:ascii="Times New Roman" w:cs="Times New Roman" w:eastAsia="Times New Roman" w:hAnsi="Times New Roman"/>
        </w:rPr>
        <w:t xml:space="preserve">[8] RIVUR Trial Investigators; Hoberman A, Greenfield SP, Mattoo TK, Keren R, Mathews R, Pohl HG, et al. Antimicrobial prophylaxis for children with vesicoureteral reflux. N Engl J Med 2014;370(25):2367-2376. https://doi.org/10.1056/NEJMoa1401811.</w:t>
      </w:r>
    </w:p>
    <w:p>
      <w:pPr>
        <w:spacing w:after="80" w:line="360"/>
        <w:jc w:val="left"/>
      </w:pPr>
      <w:r>
        <w:rPr>
          <w:rFonts w:ascii="Times New Roman" w:cs="Times New Roman" w:eastAsia="Times New Roman" w:hAnsi="Times New Roman"/>
        </w:rPr>
        <w:t xml:space="preserve">[9] Morello W, Baskin E, Jankauskiene A, Yalcinkaya F, Zurowska A, Puccio G, et al. Antibiotic prophylaxis in infants with grade III, IV, or V vesicoureteral reflux. N Engl J Med 2023;389(11):987-997. https://doi.org/10.1056/NEJMoa2300161.</w:t>
      </w:r>
    </w:p>
    <w:p>
      <w:pPr>
        <w:spacing w:after="80" w:line="360"/>
        <w:jc w:val="left"/>
      </w:pPr>
      <w:r>
        <w:rPr>
          <w:rFonts w:ascii="Times New Roman" w:cs="Times New Roman" w:eastAsia="Times New Roman" w:hAnsi="Times New Roman"/>
        </w:rPr>
        <w:t xml:space="preserve">[10] Williams G, Hodson EM, Craig JC. Interventions for primary vesicoureteric reflux. Cochrane Database Syst Rev 2019;2(2):CD001532. https://doi.org/10.1002/14651858.CD001532.pub5.</w:t>
      </w:r>
    </w:p>
    <w:p>
      <w:pPr>
        <w:spacing w:after="80" w:line="360"/>
        <w:jc w:val="left"/>
      </w:pPr>
      <w:r>
        <w:rPr>
          <w:rFonts w:ascii="Times New Roman" w:cs="Times New Roman" w:eastAsia="Times New Roman" w:hAnsi="Times New Roman"/>
        </w:rPr>
        <w:t xml:space="preserve">[11] Meena J, Mathew G, Hari P, Sinha A, Bagga A. Prevalence of bladder and bowel dysfunction in toilet-trained children with urinary tract infection and/or primary vesicoureteral reflux: a systematic review and meta-analysis. Front Pediatr 2020;8:84. https://doi.org/10.3389/fped.2020.00084.</w:t>
      </w:r>
    </w:p>
    <w:p>
      <w:pPr>
        <w:spacing w:after="80" w:line="360"/>
        <w:jc w:val="left"/>
      </w:pPr>
      <w:r>
        <w:rPr>
          <w:rFonts w:ascii="Times New Roman" w:cs="Times New Roman" w:eastAsia="Times New Roman" w:hAnsi="Times New Roman"/>
        </w:rPr>
        <w:t xml:space="preserve">[12] Arlen AM, Kirsch AJ, Leong T, Cooper CS. Validation of the ureteral diameter ratio for predicting early spontaneous resolution of primary vesicoureteral reflux. J Pediatr Urol 2017;13(4):383.e1-383.e6. https://doi.org/10.1016/j.jpurol.2017.01.012.</w:t>
      </w:r>
    </w:p>
    <w:p>
      <w:pPr>
        <w:spacing w:after="80" w:line="360"/>
        <w:jc w:val="left"/>
      </w:pPr>
      <w:r>
        <w:rPr>
          <w:rFonts w:ascii="Times New Roman" w:cs="Times New Roman" w:eastAsia="Times New Roman" w:hAnsi="Times New Roman"/>
        </w:rPr>
        <w:t xml:space="preserve">[13] Law ZW, Ong CCP, Yap TL, Loh AHP, Joseph U, Sim SW, et al. Extravesical vs. intravesical ureteric reimplantation for primary vesicoureteral reflux: a systematic review and meta-analysis. Front Pediatr 2022;10:935082. https://doi.org/10.3389/fped.2022.935082.</w:t>
      </w:r>
    </w:p>
    <w:p>
      <w:pPr>
        <w:spacing w:after="80" w:line="360"/>
        <w:jc w:val="left"/>
      </w:pPr>
      <w:r>
        <w:rPr>
          <w:rFonts w:ascii="Times New Roman" w:cs="Times New Roman" w:eastAsia="Times New Roman" w:hAnsi="Times New Roman"/>
        </w:rPr>
        <w:t xml:space="preserve">[14] Khondker A, Kim JK, Arlen AM, Rickard M, Chua ME, Kirsch AJ, et al. Early spontaneous resolution of vesicoureteral reflux from voiding cystourethrogram: a comparison of contemporary prediction models. J Pediatr Urol 2025;21:999-1004. https://doi.org/10.1016/j.jpurol.2025.04.030.</w:t>
      </w:r>
    </w:p>
    <w:p>
      <w:pPr>
        <w:spacing w:after="80" w:line="360"/>
        <w:jc w:val="left"/>
      </w:pPr>
      <w:r>
        <w:rPr>
          <w:rFonts w:ascii="Times New Roman" w:cs="Times New Roman" w:eastAsia="Times New Roman" w:hAnsi="Times New Roman"/>
        </w:rPr>
        <w:t xml:space="preserve">[15] Mina-Riascos SH, Fernández N, García-Perdomo HA. Effectiveness and risks of endoscopic management compared to vesicoureteral reimplantation in patients with high-grade vesicoureteral reflux: systematic review and network meta-analysis. Eur J Pediatr 2021;180(5):1383-1391. https://doi.org/10.1007/s00431-021-03948-w.</w:t>
      </w:r>
    </w:p>
    <w:p>
      <w:pPr>
        <w:spacing w:after="80" w:line="360"/>
        <w:jc w:val="left"/>
      </w:pPr>
      <w:r>
        <w:rPr>
          <w:rFonts w:ascii="Times New Roman" w:cs="Times New Roman" w:eastAsia="Times New Roman" w:hAnsi="Times New Roman"/>
        </w:rPr>
        <w:t xml:space="preserve">[16] Jhaveri H, Stewart A, Aitelli A, Kaplan S, Routh JC. Efficacy of antibiotic prophylaxis in children with vesicoureteral reflux: systematic review and meta-analysis of randomized clinical trials. J Pediatr Urol 2026;22(3):105829. https://doi.org/10.1016/j.jpurol.2026.105829.</w:t>
      </w:r>
    </w:p>
    <w:p>
      <w:pPr>
        <w:spacing w:after="80" w:line="360"/>
        <w:jc w:val="left"/>
      </w:pPr>
      <w:r>
        <w:rPr>
          <w:rFonts w:ascii="Times New Roman" w:cs="Times New Roman" w:eastAsia="Times New Roman" w:hAnsi="Times New Roman"/>
        </w:rPr>
        <w:t xml:space="preserve">[17] Zhang C, Chen Q, Zhang M. Mixture-of-RAG: integrating text and tables with large language models. arXiv Preprint posted online April 13, 2025. https://doi.org/10.48550/arXiv.2504.09554.</w:t>
      </w:r>
    </w:p>
    <w:p>
      <w:pPr>
        <w:spacing w:after="80" w:line="360"/>
        <w:jc w:val="left"/>
      </w:pPr>
      <w:r>
        <w:rPr>
          <w:rFonts w:ascii="Times New Roman" w:cs="Times New Roman" w:eastAsia="Times New Roman" w:hAnsi="Times New Roman"/>
        </w:rPr>
        <w:t xml:space="preserve">[18] Tullus K, Shaikh N. Urinary tract infections in children. Lancet 2020;395(10237):1659-1668. https://doi.org/10.1016/S0140-6736(20)30676-0.</w:t>
      </w:r>
    </w:p>
    <w:p>
      <w:pPr>
        <w:spacing w:after="80" w:line="360"/>
        <w:jc w:val="left"/>
      </w:pPr>
      <w:r>
        <w:rPr>
          <w:rFonts w:ascii="Times New Roman" w:cs="Times New Roman" w:eastAsia="Times New Roman" w:hAnsi="Times New Roman"/>
        </w:rPr>
        <w:t xml:space="preserve">[19] Chandra T, Bajaj M, Iyer RS, Chan SS, Bardo DME, Chen J, et al. ACR Appropriateness Criteria® Urinary Tract Infection-Child: 2023 update. J Am Coll Radiol 2024;21(6S):S326-S342. https://doi.org/10.1016/j.jacr.2024.02.025.</w:t>
      </w:r>
    </w:p>
    <w:p>
      <w:pPr>
        <w:spacing w:after="80" w:line="360"/>
        <w:jc w:val="left"/>
      </w:pPr>
      <w:r>
        <w:rPr>
          <w:rFonts w:ascii="Times New Roman" w:cs="Times New Roman" w:eastAsia="Times New Roman" w:hAnsi="Times New Roman"/>
        </w:rPr>
        <w:t xml:space="preserve">[20] Kirsch AJ, Arlen AM, Leong T, Merriman LS, Herrel LA, Scherz HC, et al. Vesicoureteral reflux index (VURx): a novel tool to predict primary reflux improvement and resolution in children less than 2 years of age. J Pediatr Urol 2014;10(6):1249-1254. https://doi.org/10.1016/j.jpurol.2014.06.019.</w:t>
      </w:r>
    </w:p>
    <w:p>
      <w:pPr>
        <w:spacing w:after="80" w:line="360"/>
        <w:jc w:val="left"/>
      </w:pPr>
      <w:r>
        <w:rPr>
          <w:rFonts w:ascii="Times New Roman" w:cs="Times New Roman" w:eastAsia="Times New Roman" w:hAnsi="Times New Roman"/>
        </w:rPr>
        <w:t xml:space="preserve">[21] Fang H, Yu X, Yu Y, Liu Z, Liu X, Hua Y, et al. A novel clinical score to predict breakthrough urinary tract infection in children with VUR: meta-analytic derivation and real-world validation. Pediatr Nephrol 2026;41:1097-1110. https://doi.org/10.1007/s00467-025-07067-8.</w:t>
      </w:r>
    </w:p>
    <w:p>
      <w:pPr>
        <w:spacing w:after="80" w:line="360"/>
        <w:jc w:val="left"/>
      </w:pPr>
      <w:r>
        <w:rPr>
          <w:rFonts w:ascii="Times New Roman" w:cs="Times New Roman" w:eastAsia="Times New Roman" w:hAnsi="Times New Roman"/>
        </w:rPr>
        <w:t xml:space="preserve">[22] Gallifant J, Afshar M, Ameen S, et al. The TRIPOD-LLM reporting guideline for studies using large language models. Nat Med 2025;31(1):60-69. https://doi.org/10.1038/s41591-024-03425-5.</w:t>
      </w:r>
    </w:p>
    <w:p>
      <w:r>
        <w:br w:type="page"/>
      </w:r>
    </w:p>
    <w:p>
      <w:pPr>
        <w:spacing w:after="120" w:before="240" w:line="276"/>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Sources in the corpus and distribution of the 50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900"/>
        <w:gridCol w:w="33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Source</w:t>
            </w:r>
          </w:p>
        </w:tc>
        <w:tc>
          <w:tcPr>
            <w:tcW w:type="dxa" w:w="1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Type</w:t>
            </w:r>
          </w:p>
        </w:tc>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Items, n</w:t>
            </w:r>
          </w:p>
        </w:tc>
        <w:tc>
          <w:tcPr>
            <w:tcW w:type="dxa" w:w="3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Question types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 Paediatric Urology guideline [5]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(5), definition (2), algorithm (2),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AUA VUR guideline [6]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Spanish pediatric UTI guideline [7]</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Guideline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 (1), 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RIVUR [8]</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 [9]</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 (2), numerical extraction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 [16]</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 of RCTs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interpretation (2)</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Meena et al [11]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Law et al [13]</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(2), 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Mina-Riascos et al [15]</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Network meta-analysis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(2),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Arlen et al [12]</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study</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(3),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Khondker et al [14]</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Prediction-model comparison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6</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 (5), study design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Fang et al [21]</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score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Score (3), interpretation (1), extraction/interpretation (1)</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50</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p>
        </w:tc>
      </w:tr>
    </w:tbl>
    <w:p>
      <w:pPr>
        <w:spacing w:after="120" w:before="240" w:line="276"/>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Primary analysis: paired performance of the PDF and curated-text arms (n=50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300"/>
        <w:gridCol w:w="2000"/>
        <w:gridCol w:w="1300"/>
      </w:tblGrid>
      <w:tr>
        <w:trPr>
          <w:tblHeader/>
        </w:trPr>
        <w:tc>
          <w:tcPr>
            <w:tcW w:type="dxa" w:w="3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Outcome</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 arm</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 arm</w:t>
            </w:r>
          </w:p>
        </w:tc>
        <w:tc>
          <w:tcPr>
            <w:tcW w:type="dxa" w:w="2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Difference (95% CI)</w:t>
            </w:r>
          </w:p>
        </w:tc>
        <w:tc>
          <w:tcPr>
            <w:tcW w:type="dxa" w:w="1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 value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Mean item score (SD)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1.68 (0.55)</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1.88 (0.33)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0.20 (0.06 to 0.36)</w:t>
            </w:r>
            <w:r>
              <w:rPr>
                <w:rFonts w:ascii="Times New Roman" w:cs="Times New Roman" w:eastAsia="Times New Roman" w:hAnsi="Times New Roman"/>
                <w:b w:val="false"/>
                <w:bCs w:val="false"/>
                <w:sz w:val="18"/>
                <w:szCs w:val="18"/>
                <w:vertAlign w:val="superscript"/>
              </w:rPr>
              <w:t xml:space="preserve">a</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w:t>
            </w:r>
            <w:r>
              <w:rPr>
                <w:rFonts w:ascii="Times New Roman" w:cs="Times New Roman" w:eastAsia="Times New Roman" w:hAnsi="Times New Roman"/>
                <w:b w:val="false"/>
                <w:bCs w:val="false"/>
                <w:sz w:val="18"/>
                <w:szCs w:val="18"/>
                <w:vertAlign w:val="superscript"/>
              </w:rPr>
              <w:t xml:space="preserve">b</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 (72)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 (88)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 points (2 to 30)</w:t>
            </w:r>
            <w:r>
              <w:rPr>
                <w:rFonts w:ascii="Times New Roman" w:cs="Times New Roman" w:eastAsia="Times New Roman" w:hAnsi="Times New Roman"/>
                <w:b w:val="false"/>
                <w:bCs w:val="false"/>
                <w:sz w:val="18"/>
                <w:szCs w:val="18"/>
                <w:vertAlign w:val="superscript"/>
              </w:rPr>
              <w:t xml:space="preserve">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.04</w:t>
            </w:r>
            <w:r>
              <w:rPr>
                <w:rFonts w:ascii="Times New Roman" w:cs="Times New Roman" w:eastAsia="Times New Roman" w:hAnsi="Times New Roman"/>
                <w:b w:val="false"/>
                <w:bCs w:val="false"/>
                <w:sz w:val="18"/>
                <w:szCs w:val="18"/>
                <w:vertAlign w:val="superscript"/>
              </w:rPr>
              <w:t xml:space="preserve">d</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Items improved / tied / worsened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 / 38 /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.04</w:t>
            </w:r>
            <w:r>
              <w:rPr>
                <w:rFonts w:ascii="Times New Roman" w:cs="Times New Roman" w:eastAsia="Times New Roman" w:hAnsi="Times New Roman"/>
                <w:b w:val="false"/>
                <w:bCs w:val="false"/>
                <w:sz w:val="18"/>
                <w:szCs w:val="18"/>
                <w:vertAlign w:val="superscript"/>
              </w:rPr>
              <w:t xml:space="preserve">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errors,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 (4)</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 (2)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total score (/100)</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completely correct, n (%)</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34 (68)</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43 (86)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 points (4 to 32)</w:t>
            </w:r>
            <w:r>
              <w:rPr>
                <w:rFonts w:ascii="Times New Roman" w:cs="Times New Roman" w:eastAsia="Times New Roman" w:hAnsi="Times New Roman"/>
                <w:b w:val="false"/>
                <w:bCs w:val="false"/>
                <w:sz w:val="18"/>
                <w:szCs w:val="18"/>
                <w:vertAlign w:val="superscript"/>
              </w:rPr>
              <w:t xml:space="preserve">c</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w:t>
            </w:r>
            <w:r>
              <w:rPr>
                <w:rFonts w:ascii="Times New Roman" w:cs="Times New Roman" w:eastAsia="Times New Roman" w:hAnsi="Times New Roman"/>
                <w:b w:val="false"/>
                <w:bCs w:val="false"/>
                <w:sz w:val="18"/>
                <w:szCs w:val="18"/>
                <w:vertAlign w:val="superscript"/>
              </w:rPr>
              <w:t xml:space="preserve">d</w:t>
            </w:r>
          </w:p>
        </w:tc>
      </w:tr>
      <w:tr>
        <w:trPr>
          <w:tblHeader w:val="false"/>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Inter-rater quadratic-weighted κ</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0.87</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0.74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bl>
    <w:p>
      <w:pPr>
        <w:spacing w:after="120" w:before="240" w:line="276"/>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Items with discordant scores between arms (primary scoring).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800"/>
        <w:gridCol w:w="1000"/>
        <w:gridCol w:w="1000"/>
      </w:tblGrid>
      <w:tr>
        <w:trPr>
          <w:tblHeader/>
        </w:trPr>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w:t>
            </w:r>
          </w:p>
        </w:tc>
        <w:tc>
          <w:tcPr>
            <w:tcW w:type="dxa" w:w="2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Source</w:t>
            </w:r>
          </w:p>
        </w:tc>
        <w:tc>
          <w:tcPr>
            <w:tcW w:type="dxa" w:w="2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Question type</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PDF</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P01</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P12</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RIVUR</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P34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Khondker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Numerical extraction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P07</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P19</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Interpretation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P25</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Law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Interpretation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P26</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Mina-Riascos et al</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Study design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P04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 (flowchart)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P10</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Algorithm (flowchart)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r>
    </w:tbl>
    <w:p>
      <w:pPr>
        <w:spacing w:after="120" w:before="240" w:line="276"/>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Exploratory comparison: key items (unblinded adjudication by the developers).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00"/>
      </w:tblGrid>
      <w:tr>
        <w:trPr>
          <w:tblHeader/>
        </w:trPr>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Clinical question</w:t>
            </w:r>
          </w:p>
        </w:tc>
        <w:tc>
          <w:tcPr>
            <w:tcW w:type="dxa" w:w="5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Observation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Cystography or contrast-enhanced voiding urosonography after a first febrile UTI</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Open Evidence selected the ultrasound-abnormality criterion; the curated assistant classified it as valid but incomplete (atypical UTI and other risk criteria also apply).</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P4–P5</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Timing of follow-up cystography under antibiotic prophylaxis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No single guideline-specified interval; the curated assistant stated that fixed-timing options were not guideline-specified. Items unsuitable for single-answer scoring.</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P8</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Persistent grade IV–V VUR at 2–3 years</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Answer depends on whether the question concerns surveillance (continued prophylaxis) or disease-correcting treatment (surgical correction).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P9–P10</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VUR with differential renal uptake &lt;10%, asymptomatic</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Observation may be reasonable but is not equivalent to active treatment of a nearly non-functioning unit; wording conflates both.</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P11</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Symptomatic VUR despite prophylaxis with uptake &lt;10%</w:t>
            </w:r>
          </w:p>
        </w:tc>
        <w:tc>
          <w:tcPr>
            <w:tcW w:type="dxa" w:w="5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With breakthrough infections despite prophylaxis, nephrectomy is the coherent active treatment in selected patients with a functioning contralateral kidney.</w:t>
            </w:r>
          </w:p>
        </w:tc>
      </w:tr>
    </w:tbl>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2026-09-27T17:49:13.343Z</dcterms:created>
  <dcterms:modified xsi:type="dcterms:W3CDTF">2026-09-27T17:49:13.343Z</dcterms:modified>
</cp:coreProperties>
</file>

<file path=docProps/custom.xml><?xml version="1.0" encoding="utf-8"?>
<Properties xmlns="http://schemas.openxmlformats.org/officeDocument/2006/custom-properties" xmlns:vt="http://schemas.openxmlformats.org/officeDocument/2006/docPropsVTypes"/>
</file>