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jc w:val="left"/>
      </w:pPr>
      <w:r>
        <w:rPr>
          <w:rFonts w:ascii="Times New Roman" w:cs="Times New Roman" w:eastAsia="Times New Roman" w:hAnsi="Times New Roman"/>
          <w:b/>
          <w:bCs/>
        </w:rPr>
        <w:t xml:space="preserve">Original Paper</w:t>
      </w:r>
    </w:p>
    <w:p>
      <w:pPr>
        <w:spacing w:after="120" w:line="480"/>
        <w:jc w:val="center"/>
      </w:pPr>
      <w:r>
        <w:rPr>
          <w:rFonts w:ascii="Times New Roman" w:cs="Times New Roman" w:eastAsia="Times New Roman" w:hAnsi="Times New Roman"/>
          <w:b/>
          <w:bCs/>
        </w:rPr>
        <w:t xml:space="preserve">Effect of Structured Source Curation on the Accuracy of a Retrieval-Augmented Generation System for Pediatric Vesicoureteral Reflux: Paired Evaluation Study With an Exploratory Comparison With Expert and AI Responses</w:t>
      </w:r>
    </w:p>
    <w:p>
      <w:pPr>
        <w:spacing w:after="120" w:line="480"/>
        <w:jc w:val="left"/>
      </w:pPr>
      <w:r>
        <w:rPr>
          <w:rFonts w:ascii="Times New Roman" w:cs="Times New Roman" w:eastAsia="Times New Roman" w:hAnsi="Times New Roman"/>
        </w:rPr>
        <w:t xml:space="preserve">Gerardo A. Zambudio-Carmona</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MD; Alberto Zambudio-Munuera</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 MD; Iván Somoza-Argibay</w:t>
      </w:r>
      <w:r>
        <w:rPr>
          <w:rFonts w:ascii="Times New Roman" w:cs="Times New Roman" w:eastAsia="Times New Roman" w:hAnsi="Times New Roman"/>
          <w:vertAlign w:val="superscript"/>
        </w:rPr>
        <w:t xml:space="preserve">3</w:t>
      </w:r>
      <w:r>
        <w:rPr>
          <w:rFonts w:ascii="Times New Roman" w:cs="Times New Roman" w:eastAsia="Times New Roman" w:hAnsi="Times New Roman"/>
        </w:rPr>
        <w:t xml:space="preserve">, MD; S. Altamirano</w:t>
      </w:r>
      <w:r>
        <w:rPr>
          <w:rFonts w:ascii="Times New Roman" w:cs="Times New Roman" w:eastAsia="Times New Roman" w:hAnsi="Times New Roman"/>
          <w:vertAlign w:val="superscript"/>
        </w:rPr>
        <w:t xml:space="preserve">3</w:t>
      </w:r>
      <w:r>
        <w:rPr>
          <w:rFonts w:ascii="Times New Roman" w:cs="Times New Roman" w:eastAsia="Times New Roman" w:hAnsi="Times New Roman"/>
        </w:rPr>
        <w:t xml:space="preserve">, MD </w:t>
      </w:r>
      <w:r>
        <w:rPr>
          <w:rFonts w:ascii="Times New Roman" w:cs="Times New Roman" w:eastAsia="Times New Roman" w:hAnsi="Times New Roman"/>
          <w:b/>
          <w:bCs/>
        </w:rPr>
        <w:t xml:space="preserve">[AUTHORS: confirm authors, degrees and full name of S. Altamirano]</w:t>
      </w:r>
    </w:p>
    <w:p>
      <w:pPr>
        <w:spacing w:after="120" w:line="480"/>
        <w:jc w:val="left"/>
      </w:pP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Department of Pediatric Surgery, Section of Pediatric Urology, Virgen de la Arrixaca University Hospital, Murcia, Spain</w:t>
      </w:r>
    </w:p>
    <w:p>
      <w:pPr>
        <w:spacing w:after="120" w:line="480"/>
        <w:jc w:val="left"/>
      </w:pP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 Department of Urology, Hospital Universitario Clínico San Cecilio, Granada, Spain</w:t>
      </w:r>
    </w:p>
    <w:p>
      <w:pPr>
        <w:spacing w:after="120" w:line="480"/>
        <w:jc w:val="left"/>
      </w:pPr>
      <w:r>
        <w:rPr>
          <w:rFonts w:ascii="Times New Roman" w:cs="Times New Roman" w:eastAsia="Times New Roman" w:hAnsi="Times New Roman"/>
          <w:vertAlign w:val="superscript"/>
        </w:rPr>
        <w:t xml:space="preserve">3</w:t>
      </w:r>
      <w:r>
        <w:rPr>
          <w:rFonts w:ascii="Times New Roman" w:cs="Times New Roman" w:eastAsia="Times New Roman" w:hAnsi="Times New Roman"/>
        </w:rPr>
        <w:t xml:space="preserve"> Department of Pediatric Surgery, Complejo Hospitalario Universitario A Coruña, A Coruña, Spain</w:t>
      </w:r>
    </w:p>
    <w:p>
      <w:pPr>
        <w:spacing w:after="120" w:line="480"/>
        <w:jc w:val="left"/>
      </w:pPr>
      <w:r>
        <w:rPr>
          <w:rFonts w:ascii="Times New Roman" w:cs="Times New Roman" w:eastAsia="Times New Roman" w:hAnsi="Times New Roman"/>
          <w:b/>
          <w:bCs/>
        </w:rPr>
        <w:t xml:space="preserve">Corresponding author:</w:t>
      </w:r>
      <w:r>
        <w:rPr>
          <w:rFonts w:ascii="Times New Roman" w:cs="Times New Roman" w:eastAsia="Times New Roman" w:hAnsi="Times New Roman"/>
        </w:rPr>
        <w:t xml:space="preserve"> Gerardo A. Zambudio-Carmona, MD. Department of Pediatric Surgery, Section of Pediatric Urology, Virgen de la Arrixaca University Hospital, Ctra. Madrid-Cartagena s/n, 30120 Murcia, Spain. Email: gzambudio@uropediatria.com</w:t>
      </w:r>
    </w:p>
    <w:p>
      <w:pPr>
        <w:pStyle w:val="Heading1"/>
        <w:spacing w:after="120" w:before="240" w:line="480"/>
      </w:pPr>
      <w:r>
        <w:rPr>
          <w:rFonts w:ascii="Times New Roman" w:cs="Times New Roman" w:eastAsia="Times New Roman" w:hAnsi="Times New Roman"/>
          <w:b/>
          <w:bCs/>
          <w:sz w:val="26"/>
          <w:szCs w:val="26"/>
        </w:rPr>
        <w:t xml:space="preserve">Abstract</w:t>
      </w:r>
    </w:p>
    <w:p>
      <w:pPr>
        <w:spacing w:after="120" w:line="480"/>
        <w:jc w:val="left"/>
      </w:pPr>
      <w:r>
        <w:rPr>
          <w:rFonts w:ascii="Times New Roman" w:cs="Times New Roman" w:eastAsia="Times New Roman" w:hAnsi="Times New Roman"/>
          <w:b/>
          <w:bCs/>
        </w:rPr>
        <w:t xml:space="preserve">Background:</w:t>
      </w:r>
      <w:r>
        <w:rPr>
          <w:rFonts w:ascii="Times New Roman" w:cs="Times New Roman" w:eastAsia="Times New Roman" w:hAnsi="Times New Roman"/>
        </w:rPr>
        <w:t xml:space="preserve"> Clinicians increasingly query large language models (LLMs) grounded in clinical documents through retrieval-augmented generation (RAG). Guidelines and trials are usually distributed as PDFs in which key data sit in tables, forest plots, scores and flowcharts, but the effect of document preparation on clinical RAG accuracy is rarely isolated from the choice of model.</w:t>
      </w:r>
    </w:p>
    <w:p>
      <w:pPr>
        <w:spacing w:after="120" w:line="480"/>
        <w:jc w:val="left"/>
      </w:pPr>
      <w:r>
        <w:rPr>
          <w:rFonts w:ascii="Times New Roman" w:cs="Times New Roman" w:eastAsia="Times New Roman" w:hAnsi="Times New Roman"/>
          <w:b/>
          <w:bCs/>
        </w:rPr>
        <w:t xml:space="preserve">Objective:</w:t>
      </w:r>
      <w:r>
        <w:rPr>
          <w:rFonts w:ascii="Times New Roman" w:cs="Times New Roman" w:eastAsia="Times New Roman" w:hAnsi="Times New Roman"/>
        </w:rPr>
        <w:t xml:space="preserve"> The primary objective was to quantify the effect of manual structured curation of source documents, compared with uploading the original PDFs, on the accuracy of a RAG assistant answering source-dependent questions on pediatric vesicoureteral reflux (VUR) and urinary tract infection (UTI). The secondary, exploratory objective was to describe how the curated assistant, a biomedical AI tool and expert practice differ on clinically controversial questions.</w:t>
      </w:r>
    </w:p>
    <w:p>
      <w:pPr>
        <w:spacing w:after="120" w:line="480"/>
        <w:jc w:val="left"/>
      </w:pPr>
      <w:r>
        <w:rPr>
          <w:rFonts w:ascii="Times New Roman" w:cs="Times New Roman" w:eastAsia="Times New Roman" w:hAnsi="Times New Roman"/>
          <w:b/>
          <w:bCs/>
        </w:rPr>
        <w:t xml:space="preserve">Methods:</w:t>
      </w:r>
      <w:r>
        <w:rPr>
          <w:rFonts w:ascii="Times New Roman" w:cs="Times New Roman" w:eastAsia="Times New Roman" w:hAnsi="Times New Roman"/>
        </w:rPr>
        <w:t xml:space="preserve"> Two GPT-4o assistants (OpenAI Assistants File Search; temperature 0) with identical model, prompt and retrieval settings differed only in how the same 12 sources were represented: original PDFs (≈7 MB) or manually curated structured text (≈305 KB). Each answered a predefined 50-item question bank once. Answers were scored 0–2 against predefined answers and independently re-scored by a co-investigator blinded to arm. Paired analyses used the Wilcoxon signed-rank test, the exact McNemar test with Newcombe CIs, and quadratic-weighted κ. In an exploratory phase, 11 questions shared with a survey of 30 experienced pediatric urologists from the Ibero-American Society of Pediatric Urology were answered by Open Evidence and the curated assistant and qualitatively adjudicated against a predefined source hierarchy.</w:t>
      </w:r>
    </w:p>
    <w:p>
      <w:pPr>
        <w:spacing w:after="120" w:line="480"/>
        <w:jc w:val="left"/>
      </w:pPr>
      <w:r>
        <w:rPr>
          <w:rFonts w:ascii="Times New Roman" w:cs="Times New Roman" w:eastAsia="Times New Roman" w:hAnsi="Times New Roman"/>
          <w:b/>
          <w:bCs/>
        </w:rPr>
        <w:t xml:space="preserve">Results:</w:t>
      </w:r>
      <w:r>
        <w:rPr>
          <w:rFonts w:ascii="Times New Roman" w:cs="Times New Roman" w:eastAsia="Times New Roman" w:hAnsi="Times New Roman"/>
        </w:rPr>
        <w:t xml:space="preserve"> The curated arm scored 94/100 versus 84/100 (mean paired difference 0.20 points per item, 95% CI 0.06–0.36; Wilcoxon </w:t>
      </w:r>
      <w:r>
        <w:rPr>
          <w:rFonts w:ascii="Times New Roman" w:cs="Times New Roman" w:eastAsia="Times New Roman" w:hAnsi="Times New Roman"/>
          <w:i/>
          <w:iCs/>
        </w:rPr>
        <w:t xml:space="preserve">P</w:t>
      </w:r>
      <w:r>
        <w:rPr>
          <w:rFonts w:ascii="Times New Roman" w:cs="Times New Roman" w:eastAsia="Times New Roman" w:hAnsi="Times New Roman"/>
        </w:rPr>
        <w:t xml:space="preserve">=.02). Completely correct answers increased from 36/50 (72%) to 44/50 (88%) (difference 16 percentage points, 95% CI 2–30; exact McNemar </w:t>
      </w:r>
      <w:r>
        <w:rPr>
          <w:rFonts w:ascii="Times New Roman" w:cs="Times New Roman" w:eastAsia="Times New Roman" w:hAnsi="Times New Roman"/>
          <w:i/>
          <w:iCs/>
        </w:rPr>
        <w:t xml:space="preserve">P</w:t>
      </w:r>
      <w:r>
        <w:rPr>
          <w:rFonts w:ascii="Times New Roman" w:cs="Times New Roman" w:eastAsia="Times New Roman" w:hAnsi="Times New Roman"/>
        </w:rPr>
        <w:t xml:space="preserve">=.04). Ten items improved and 2 worsened; both worsened items were guideline flowchart questions. The result was fragile: reclassifying a single improved item as tied removed statistical significance. Blinded re-scoring reproduced the direction (93 vs 82/100; 43/50 vs 34/50 completely correct, </w:t>
      </w:r>
      <w:r>
        <w:rPr>
          <w:rFonts w:ascii="Times New Roman" w:cs="Times New Roman" w:eastAsia="Times New Roman" w:hAnsi="Times New Roman"/>
          <w:i/>
          <w:iCs/>
        </w:rPr>
        <w:t xml:space="preserve">P</w:t>
      </w:r>
      <w:r>
        <w:rPr>
          <w:rFonts w:ascii="Times New Roman" w:cs="Times New Roman" w:eastAsia="Times New Roman" w:hAnsi="Times New Roman"/>
        </w:rPr>
        <w:t xml:space="preserve">=.02), with quadratic-weighted κ of 0.87 (PDF arm) and 0.74 (curated arm). Major errors were infrequent (2 vs 1). In the exploratory phase, expert practice was heterogeneous, and agreement with expert majority, agreement between AI tools and guideline-based alignment diverged in several items; this adjudication was unblinded and performed by the developers.</w:t>
      </w:r>
    </w:p>
    <w:p>
      <w:pPr>
        <w:spacing w:after="120" w:line="480"/>
        <w:jc w:val="left"/>
      </w:pPr>
      <w:r>
        <w:rPr>
          <w:rFonts w:ascii="Times New Roman" w:cs="Times New Roman" w:eastAsia="Times New Roman" w:hAnsi="Times New Roman"/>
          <w:b/>
          <w:bCs/>
        </w:rPr>
        <w:t xml:space="preserve">Conclusions:</w:t>
      </w:r>
      <w:r>
        <w:rPr>
          <w:rFonts w:ascii="Times New Roman" w:cs="Times New Roman" w:eastAsia="Times New Roman" w:hAnsi="Times New Roman"/>
        </w:rPr>
        <w:t xml:space="preserve"> In this single-model, single-domain evaluation, manual curation of source documents modestly improved RAG accuracy on source-dependent questions, mainly for numerical data embedded in tables and meta-analyses, whereas flowchart conversion was a failure point. Document preparation should be treated, validated and reported as a component of clinical RAG systems. The clinical comparison is hypothesis-generating and requires independent, blinded and repeated-run evaluation.</w:t>
      </w:r>
    </w:p>
    <w:p>
      <w:pPr>
        <w:spacing w:after="120" w:line="480"/>
        <w:jc w:val="left"/>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retrieval-augmented generation; large language models; vesicoureteral reflux; urinary tract infection; pediatric urology; clinical decision support; document curation; evaluation study</w:t>
      </w:r>
    </w:p>
    <w:p>
      <w:r>
        <w:br w:type="page"/>
      </w:r>
    </w:p>
    <w:p>
      <w:pPr>
        <w:pStyle w:val="Heading1"/>
        <w:spacing w:after="120" w:before="240" w:line="480"/>
      </w:pPr>
      <w:r>
        <w:rPr>
          <w:rFonts w:ascii="Times New Roman" w:cs="Times New Roman" w:eastAsia="Times New Roman" w:hAnsi="Times New Roman"/>
          <w:b/>
          <w:bCs/>
          <w:sz w:val="26"/>
          <w:szCs w:val="26"/>
        </w:rPr>
        <w:t xml:space="preserve">Introduction</w:t>
      </w:r>
    </w:p>
    <w:p>
      <w:pPr>
        <w:spacing w:after="120" w:line="480"/>
        <w:jc w:val="left"/>
      </w:pPr>
      <w:r>
        <w:rPr>
          <w:rFonts w:ascii="Times New Roman" w:cs="Times New Roman" w:eastAsia="Times New Roman" w:hAnsi="Times New Roman"/>
        </w:rPr>
        <w:t xml:space="preserve">Clinicians increasingly use large language models (LLMs) to search, summarise and interpret medical literature. Because LLMs can generate fluent but unsupported statements, retrieval-augmented generation (RAG) has been proposed to ground answers in an external corpus of trusted documents [1]. Benchmark studies show, however, that RAG performance depends on the whole pipeline (corpus, document representation, retriever, prompt and evaluation) rather than on the language model alone [2,3].</w:t>
      </w:r>
    </w:p>
    <w:p>
      <w:pPr>
        <w:spacing w:after="120" w:line="480"/>
        <w:jc w:val="left"/>
      </w:pPr>
      <w:r>
        <w:rPr>
          <w:rFonts w:ascii="Times New Roman" w:cs="Times New Roman" w:eastAsia="Times New Roman" w:hAnsi="Times New Roman"/>
        </w:rPr>
        <w:t xml:space="preserve">Clinical knowledge is mostly distributed as PDF files designed for human reading. In guidelines, trials and meta-analyses, decision-relevant information is often located in tables, forest plots, scoring rules and flowcharts. Text extraction from such documents can fragment tables, separate numbers from their outcomes and lose the branch structure of algorithms, and engineering reports have described these problems [4,17]. Most clinical RAG evaluations nonetheless compare models or products, and few isolate the effect of document preparation while holding the model, prompt and questions constant.</w:t>
      </w:r>
    </w:p>
    <w:p>
      <w:pPr>
        <w:spacing w:after="120" w:line="480"/>
        <w:jc w:val="left"/>
      </w:pPr>
      <w:r>
        <w:rPr>
          <w:rFonts w:ascii="Times New Roman" w:cs="Times New Roman" w:eastAsia="Times New Roman" w:hAnsi="Times New Roman"/>
        </w:rPr>
        <w:t xml:space="preserve">Pediatric vesicoureteral reflux (VUR) and urinary tract infection (UTI) are a demanding test domain. Decisions integrate age, reflux grade, renal scarring, recurrent febrile UTI, bladder and bowel dysfunction, differential renal function and imaging, and the evidence base combines guidelines, randomised trials, meta-analyses and prediction models whose key results are frequently tabulated [5–16,21]. Several decisions (imaging after a first febrile UTI, the timing of follow-up cystography, and the management of persistent high-grade reflux) remain variable in practice, and AI tools may give plausible but divergent answers without making their sources explicit.</w:t>
      </w:r>
    </w:p>
    <w:p>
      <w:pPr>
        <w:spacing w:after="120" w:line="480"/>
        <w:jc w:val="left"/>
      </w:pPr>
      <w:r>
        <w:rPr>
          <w:rFonts w:ascii="Times New Roman" w:cs="Times New Roman" w:eastAsia="Times New Roman" w:hAnsi="Times New Roman"/>
        </w:rPr>
        <w:t xml:space="preserve">The primary objective of this study was to quantify the effect of manual structured curation of source documents, compared with uploading the original PDFs, on the accuracy of a RAG assistant answering source-dependent questions on pediatric VUR/UTI. We hypothesised that curation would improve accuracy, particularly for numerical data embedded in tables and figures. The secondary, exploratory objective was to describe how the curated assistant, a biomedical AI tool and expert practice differ on clinically controversial questions, and whether agreement with experts is an adequate yardstick for such questions.</w:t>
      </w:r>
    </w:p>
    <w:p>
      <w:pPr>
        <w:pStyle w:val="Heading1"/>
        <w:spacing w:after="120" w:before="240" w:line="480"/>
      </w:pPr>
      <w:r>
        <w:rPr>
          <w:rFonts w:ascii="Times New Roman" w:cs="Times New Roman" w:eastAsia="Times New Roman" w:hAnsi="Times New Roman"/>
          <w:b/>
          <w:bCs/>
          <w:sz w:val="26"/>
          <w:szCs w:val="26"/>
        </w:rPr>
        <w:t xml:space="preserve">Methods</w:t>
      </w:r>
    </w:p>
    <w:p>
      <w:pPr>
        <w:pStyle w:val="Heading2"/>
        <w:spacing w:after="100" w:before="200" w:line="480"/>
      </w:pPr>
      <w:r>
        <w:rPr>
          <w:rFonts w:ascii="Times New Roman" w:cs="Times New Roman" w:eastAsia="Times New Roman" w:hAnsi="Times New Roman"/>
          <w:b/>
          <w:bCs/>
          <w:i/>
          <w:iCs/>
          <w:sz w:val="24"/>
          <w:szCs w:val="24"/>
        </w:rPr>
        <w:t xml:space="preserve">Study Design and Reporting</w:t>
      </w:r>
    </w:p>
    <w:p>
      <w:pPr>
        <w:spacing w:after="120" w:line="480"/>
        <w:jc w:val="left"/>
      </w:pPr>
      <w:r>
        <w:rPr>
          <w:rFonts w:ascii="Times New Roman" w:cs="Times New Roman" w:eastAsia="Times New Roman" w:hAnsi="Times New Roman"/>
        </w:rPr>
        <w:t xml:space="preserve">We conducted a paired evaluation of two configurations of the same RAG assistant (primary analysis), followed by an exploratory qualitative comparison on clinical questions (secondary analysis). Reporting follows the TRIPOD-LLM guideline where applicable [22]; the completed checklist is provided in Multimedia Appendix 1 (Table S6).</w:t>
      </w:r>
    </w:p>
    <w:p>
      <w:pPr>
        <w:pStyle w:val="Heading2"/>
        <w:spacing w:after="100" w:before="200" w:line="480"/>
      </w:pPr>
      <w:r>
        <w:rPr>
          <w:rFonts w:ascii="Times New Roman" w:cs="Times New Roman" w:eastAsia="Times New Roman" w:hAnsi="Times New Roman"/>
          <w:b/>
          <w:bCs/>
          <w:i/>
          <w:iCs/>
          <w:sz w:val="24"/>
          <w:szCs w:val="24"/>
        </w:rPr>
        <w:t xml:space="preserve">RAG Configuration</w:t>
      </w:r>
    </w:p>
    <w:p>
      <w:pPr>
        <w:spacing w:after="120" w:line="480"/>
        <w:jc w:val="left"/>
      </w:pPr>
      <w:r>
        <w:rPr>
          <w:rFonts w:ascii="Times New Roman" w:cs="Times New Roman" w:eastAsia="Times New Roman" w:hAnsi="Times New Roman"/>
        </w:rPr>
        <w:t xml:space="preserve">Both assistants used GPT-4o (OpenAI; model snapshot </w:t>
      </w:r>
      <w:r>
        <w:rPr>
          <w:rFonts w:ascii="Times New Roman" w:cs="Times New Roman" w:eastAsia="Times New Roman" w:hAnsi="Times New Roman"/>
          <w:b/>
          <w:bCs/>
        </w:rPr>
        <w:t xml:space="preserve">[AUTHORS: e.g., gpt-4o-2024-08-06]</w:t>
      </w:r>
      <w:r>
        <w:rPr>
          <w:rFonts w:ascii="Times New Roman" w:cs="Times New Roman" w:eastAsia="Times New Roman" w:hAnsi="Times New Roman"/>
        </w:rPr>
        <w:t xml:space="preserve">) through the Assistants application programming interface with the File Search tool. Sources were uploaded to a separate vector store for each arm using </w:t>
      </w:r>
      <w:r>
        <w:rPr>
          <w:rFonts w:ascii="Times New Roman" w:cs="Times New Roman" w:eastAsia="Times New Roman" w:hAnsi="Times New Roman"/>
          <w:b/>
          <w:bCs/>
        </w:rPr>
        <w:t xml:space="preserve">[AUTHORS: default chunking, 800 tokens with 400-token overlap, and maximum number of retrieved chunks; confirm]</w:t>
      </w:r>
      <w:r>
        <w:rPr>
          <w:rFonts w:ascii="Times New Roman" w:cs="Times New Roman" w:eastAsia="Times New Roman" w:hAnsi="Times New Roman"/>
        </w:rPr>
        <w:t xml:space="preserve">. Temperature was 0 and top-p 1. Both assistants used the identical system prompt (Multimedia Appendix 1, Appendix S1), which restricted answers to the loaded sources, specified a source hierarchy (guidelines; randomised trials and meta-analyses; validated prediction models; narrative or secondary sources), prohibited inventing or computing missing numerical data, required listing of the sources used and required predefined phrases when information was insufficient or out of scope. Each question was submitted once per arm in a new conversation thread </w:t>
      </w:r>
      <w:r>
        <w:rPr>
          <w:rFonts w:ascii="Times New Roman" w:cs="Times New Roman" w:eastAsia="Times New Roman" w:hAnsi="Times New Roman"/>
          <w:b/>
          <w:bCs/>
        </w:rPr>
        <w:t xml:space="preserve">[AUTHORS: confirm]</w:t>
      </w:r>
      <w:r>
        <w:rPr>
          <w:rFonts w:ascii="Times New Roman" w:cs="Times New Roman" w:eastAsia="Times New Roman" w:hAnsi="Times New Roman"/>
        </w:rPr>
        <w:t xml:space="preserve"> between </w:t>
      </w:r>
      <w:r>
        <w:rPr>
          <w:rFonts w:ascii="Times New Roman" w:cs="Times New Roman" w:eastAsia="Times New Roman" w:hAnsi="Times New Roman"/>
          <w:b/>
          <w:bCs/>
        </w:rPr>
        <w:t xml:space="preserve">[AUTHORS: dates]</w:t>
      </w:r>
      <w:r>
        <w:rPr>
          <w:rFonts w:ascii="Times New Roman" w:cs="Times New Roman" w:eastAsia="Times New Roman" w:hAnsi="Times New Roman"/>
        </w:rPr>
        <w:t xml:space="preserve">.</w:t>
      </w:r>
    </w:p>
    <w:p>
      <w:pPr>
        <w:pStyle w:val="Heading2"/>
        <w:spacing w:after="100" w:before="200" w:line="480"/>
      </w:pPr>
      <w:r>
        <w:rPr>
          <w:rFonts w:ascii="Times New Roman" w:cs="Times New Roman" w:eastAsia="Times New Roman" w:hAnsi="Times New Roman"/>
          <w:b/>
          <w:bCs/>
          <w:i/>
          <w:iCs/>
          <w:sz w:val="24"/>
          <w:szCs w:val="24"/>
        </w:rPr>
        <w:t xml:space="preserve">Source Corpus and Curation</w:t>
      </w:r>
    </w:p>
    <w:p>
      <w:pPr>
        <w:spacing w:after="120" w:line="480"/>
        <w:jc w:val="left"/>
      </w:pPr>
      <w:r>
        <w:rPr>
          <w:rFonts w:ascii="Times New Roman" w:cs="Times New Roman" w:eastAsia="Times New Roman" w:hAnsi="Times New Roman"/>
        </w:rPr>
        <w:t xml:space="preserve">Twelve sources were selected for clinical relevance and documentary complexity: three guidelines, two randomised trials, four systematic reviews or meta-analyses and three prediction-model studies (Table 1) [5–9,11–16,21]. In the control arm, the original PDF files (≈7 MB) were uploaded unchanged. In the experimental arm, a pediatric urologist (G.A.Z.C.) produced structured-text versions of the same 12 sources (≈305 KB) </w:t>
      </w:r>
      <w:r>
        <w:rPr>
          <w:rFonts w:ascii="Times New Roman" w:cs="Times New Roman" w:eastAsia="Times New Roman" w:hAnsi="Times New Roman"/>
          <w:b/>
          <w:bCs/>
        </w:rPr>
        <w:t xml:space="preserve">[AUTHORS: time spent and whether a second person verified the curated files against the originals]</w:t>
      </w:r>
      <w:r>
        <w:rPr>
          <w:rFonts w:ascii="Times New Roman" w:cs="Times New Roman" w:eastAsia="Times New Roman" w:hAnsi="Times New Roman"/>
        </w:rPr>
        <w:t xml:space="preserve">. Curation converted tables into explicit line-by-line statements, linked each numerical estimate to its outcome, population and statistical measure, rewrote scores and flowcharts as stepwise text, preserved operational definitions, stated limitations relevant to interpretation and removed duplicated or non-relevant content.</w:t>
      </w:r>
    </w:p>
    <w:p>
      <w:pPr>
        <w:spacing w:after="120" w:line="480"/>
        <w:jc w:val="left"/>
      </w:pPr>
      <w:r>
        <w:rPr>
          <w:rFonts w:ascii="Times New Roman" w:cs="Times New Roman" w:eastAsia="Times New Roman" w:hAnsi="Times New Roman"/>
        </w:rPr>
        <w:t xml:space="preserve">The experimental intervention is therefore a bundle of content restructuring, format change and a 23-fold reduction in corpus size. The design estimates the effect of this bundle as a whole and cannot attribute it to any single component.</w:t>
      </w:r>
    </w:p>
    <w:p>
      <w:pPr>
        <w:pStyle w:val="Heading2"/>
        <w:spacing w:after="100" w:before="200" w:line="480"/>
      </w:pPr>
      <w:r>
        <w:rPr>
          <w:rFonts w:ascii="Times New Roman" w:cs="Times New Roman" w:eastAsia="Times New Roman" w:hAnsi="Times New Roman"/>
          <w:b/>
          <w:bCs/>
          <w:i/>
          <w:iCs/>
          <w:sz w:val="24"/>
          <w:szCs w:val="24"/>
        </w:rPr>
        <w:t xml:space="preserve">Question Bank</w:t>
      </w:r>
    </w:p>
    <w:p>
      <w:pPr>
        <w:spacing w:after="120" w:line="480"/>
        <w:jc w:val="left"/>
      </w:pPr>
      <w:r>
        <w:rPr>
          <w:rFonts w:ascii="Times New Roman" w:cs="Times New Roman" w:eastAsia="Times New Roman" w:hAnsi="Times New Roman"/>
        </w:rPr>
        <w:t xml:space="preserve">A 50-item question bank with predefined expected answers was developed by </w:t>
      </w:r>
      <w:r>
        <w:rPr>
          <w:rFonts w:ascii="Times New Roman" w:cs="Times New Roman" w:eastAsia="Times New Roman" w:hAnsi="Times New Roman"/>
          <w:b/>
          <w:bCs/>
        </w:rPr>
        <w:t xml:space="preserve">[AUTHORS: who]</w:t>
      </w:r>
      <w:r>
        <w:rPr>
          <w:rFonts w:ascii="Times New Roman" w:cs="Times New Roman" w:eastAsia="Times New Roman" w:hAnsi="Times New Roman"/>
        </w:rPr>
        <w:t xml:space="preserve"> </w:t>
      </w:r>
      <w:r>
        <w:rPr>
          <w:rFonts w:ascii="Times New Roman" w:cs="Times New Roman" w:eastAsia="Times New Roman" w:hAnsi="Times New Roman"/>
          <w:b/>
          <w:bCs/>
        </w:rPr>
        <w:t xml:space="preserve">[AUTHORS: before any assistant was queried; confirm]</w:t>
      </w:r>
      <w:r>
        <w:rPr>
          <w:rFonts w:ascii="Times New Roman" w:cs="Times New Roman" w:eastAsia="Times New Roman" w:hAnsi="Times New Roman"/>
        </w:rPr>
        <w:t xml:space="preserve">. Items were deliberately targeted at information expected to be difficult to recover from PDFs: numerical extraction (n=29), directed interpretation (n=6), study design (n=6), definitions (n=3), score components (n=3), algorithms (n=2) and mixed extraction-interpretation (n=1); their distribution by source is shown in Table 1. Items tested recovery of source-dependent answers rather than general medical knowledge. Question texts, expected answers and verbatim responses are provided in Multimedia Appendix 1 </w:t>
      </w:r>
      <w:r>
        <w:rPr>
          <w:rFonts w:ascii="Times New Roman" w:cs="Times New Roman" w:eastAsia="Times New Roman" w:hAnsi="Times New Roman"/>
          <w:b/>
          <w:bCs/>
        </w:rPr>
        <w:t xml:space="preserve">[AUTHORS: add if not yet included]</w:t>
      </w:r>
      <w:r>
        <w:rPr>
          <w:rFonts w:ascii="Times New Roman" w:cs="Times New Roman" w:eastAsia="Times New Roman" w:hAnsi="Times New Roman"/>
        </w:rPr>
        <w:t xml:space="preserve">.</w:t>
      </w:r>
    </w:p>
    <w:p>
      <w:pPr>
        <w:pStyle w:val="Heading2"/>
        <w:spacing w:after="100" w:before="200" w:line="480"/>
      </w:pPr>
      <w:r>
        <w:rPr>
          <w:rFonts w:ascii="Times New Roman" w:cs="Times New Roman" w:eastAsia="Times New Roman" w:hAnsi="Times New Roman"/>
          <w:b/>
          <w:bCs/>
          <w:i/>
          <w:iCs/>
          <w:sz w:val="24"/>
          <w:szCs w:val="24"/>
        </w:rPr>
        <w:t xml:space="preserve">Outcomes and Scoring</w:t>
      </w:r>
    </w:p>
    <w:p>
      <w:pPr>
        <w:spacing w:after="120" w:line="480"/>
        <w:jc w:val="left"/>
      </w:pPr>
      <w:r>
        <w:rPr>
          <w:rFonts w:ascii="Times New Roman" w:cs="Times New Roman" w:eastAsia="Times New Roman" w:hAnsi="Times New Roman"/>
        </w:rPr>
        <w:t xml:space="preserve">Each answer was scored 0 (incorrect, invented or key datum missing), 1 (partially correct) or 2 (correct datum, outcome, measure and interpretation). The primary outcome was the item score; secondary outcomes were the proportion of completely correct answers (score 2), major errors and the direction of discordant items. Major errors were prespecified as invented numerical values, confusion between effect measures, confusion between clinically distinct outcomes (eg, recurrent UTI vs renal scarring, or radiological resolution vs UTI reduction), attribution to the wrong source, or a conclusion opposite to the source.</w:t>
      </w:r>
    </w:p>
    <w:p>
      <w:pPr>
        <w:spacing w:after="120" w:line="480"/>
        <w:jc w:val="left"/>
      </w:pPr>
      <w:r>
        <w:rPr>
          <w:rFonts w:ascii="Times New Roman" w:cs="Times New Roman" w:eastAsia="Times New Roman" w:hAnsi="Times New Roman"/>
        </w:rPr>
        <w:t xml:space="preserve">The primary scoring was performed by G.A.Z.C. A second co-investigator (A.Z.M.) independently re-scored all 100 answers with the same rubric, blinded to arm assignment; </w:t>
      </w:r>
      <w:r>
        <w:rPr>
          <w:rFonts w:ascii="Times New Roman" w:cs="Times New Roman" w:eastAsia="Times New Roman" w:hAnsi="Times New Roman"/>
          <w:b/>
          <w:bCs/>
        </w:rPr>
        <w:t xml:space="preserve">[AUTHORS: describe how arm-revealing cues such as file names or citation formats were removed, and whether answers were presented in random order]</w:t>
      </w:r>
      <w:r>
        <w:rPr>
          <w:rFonts w:ascii="Times New Roman" w:cs="Times New Roman" w:eastAsia="Times New Roman" w:hAnsi="Times New Roman"/>
        </w:rPr>
        <w:t xml:space="preserve">. Arm labels were revealed after scoring was complete.</w:t>
      </w:r>
    </w:p>
    <w:p>
      <w:pPr>
        <w:pStyle w:val="Heading2"/>
        <w:spacing w:after="100" w:before="200" w:line="480"/>
      </w:pPr>
      <w:r>
        <w:rPr>
          <w:rFonts w:ascii="Times New Roman" w:cs="Times New Roman" w:eastAsia="Times New Roman" w:hAnsi="Times New Roman"/>
          <w:b/>
          <w:bCs/>
          <w:i/>
          <w:iCs/>
          <w:sz w:val="24"/>
          <w:szCs w:val="24"/>
        </w:rPr>
        <w:t xml:space="preserve">Statistical Analysis</w:t>
      </w:r>
    </w:p>
    <w:p>
      <w:pPr>
        <w:spacing w:after="120" w:line="480"/>
        <w:jc w:val="left"/>
      </w:pPr>
      <w:r>
        <w:rPr>
          <w:rFonts w:ascii="Times New Roman" w:cs="Times New Roman" w:eastAsia="Times New Roman" w:hAnsi="Times New Roman"/>
        </w:rPr>
        <w:t xml:space="preserve">Comparisons were paired by item. Item scores were compared with the Wilcoxon signed-rank test (zero differences excluded, normal approximation), with the exact conditional test as a sensitivity analysis; the mean paired difference is reported with a percentile bootstrap 95% CI (20,000 resamples). Completely correct answers were compared with the exact McNemar test, and the paired difference in proportions is reported with the Newcombe hybrid score 95% CI. Fragility was defined as the minimum number of improved items that would need to be reclassified as tied for the McNemar test to lose significance at α=.05. Inter-rater agreement was assessed with exact agreement and quadratic-weighted Cohen κ (prespecified threshold ≥0.61). Major errors were analysed descriptively. Tests were two-sided with α=.05. Analyses were performed in Python 3 (SciPy and scikit-learn).</w:t>
      </w:r>
    </w:p>
    <w:p>
      <w:pPr>
        <w:pStyle w:val="Heading2"/>
        <w:spacing w:after="100" w:before="200" w:line="480"/>
      </w:pPr>
      <w:r>
        <w:rPr>
          <w:rFonts w:ascii="Times New Roman" w:cs="Times New Roman" w:eastAsia="Times New Roman" w:hAnsi="Times New Roman"/>
          <w:b/>
          <w:bCs/>
          <w:i/>
          <w:iCs/>
          <w:sz w:val="24"/>
          <w:szCs w:val="24"/>
        </w:rPr>
        <w:t xml:space="preserve">Exploratory Clinical Comparison</w:t>
      </w:r>
    </w:p>
    <w:p>
      <w:pPr>
        <w:spacing w:after="120" w:line="480"/>
        <w:jc w:val="left"/>
      </w:pPr>
      <w:r>
        <w:rPr>
          <w:rFonts w:ascii="Times New Roman" w:cs="Times New Roman" w:eastAsia="Times New Roman" w:hAnsi="Times New Roman"/>
        </w:rPr>
        <w:t xml:space="preserve">The clinical comparator was a structured survey of 30 pediatric urologists from the Ibero-American Society of Pediatric Urology (SIUP), all with more than 10 years of clinical practice </w:t>
      </w:r>
      <w:r>
        <w:rPr>
          <w:rFonts w:ascii="Times New Roman" w:cs="Times New Roman" w:eastAsia="Times New Roman" w:hAnsi="Times New Roman"/>
          <w:b/>
          <w:bCs/>
        </w:rPr>
        <w:t xml:space="preserve">[AUTHORS: survey dates, mode of administration, recruitment, number invited and response rate]</w:t>
      </w:r>
      <w:r>
        <w:rPr>
          <w:rFonts w:ascii="Times New Roman" w:cs="Times New Roman" w:eastAsia="Times New Roman" w:hAnsi="Times New Roman"/>
        </w:rPr>
        <w:t xml:space="preserve">. The 11 questions common to the survey and the AI evaluation were analysed; no other question was added. The same questions were answered by Open Evidence </w:t>
      </w:r>
      <w:r>
        <w:rPr>
          <w:rFonts w:ascii="Times New Roman" w:cs="Times New Roman" w:eastAsia="Times New Roman" w:hAnsi="Times New Roman"/>
          <w:b/>
          <w:bCs/>
        </w:rPr>
        <w:t xml:space="preserve">[AUTHORS: query dates]</w:t>
      </w:r>
      <w:r>
        <w:rPr>
          <w:rFonts w:ascii="Times New Roman" w:cs="Times New Roman" w:eastAsia="Times New Roman" w:hAnsi="Times New Roman"/>
        </w:rPr>
        <w:t xml:space="preserve">, in open-answer and forced-choice formats when available, and by the curated-text assistant described above.</w:t>
      </w:r>
    </w:p>
    <w:p>
      <w:pPr>
        <w:spacing w:after="120" w:line="480"/>
        <w:jc w:val="left"/>
      </w:pPr>
      <w:r>
        <w:rPr>
          <w:rFonts w:ascii="Times New Roman" w:cs="Times New Roman" w:eastAsia="Times New Roman" w:hAnsi="Times New Roman"/>
        </w:rPr>
        <w:t xml:space="preserve">Responses were adjudicated by the developers of the assistant against a predefined evidence hierarchy: current guidelines and radiological appropriateness criteria for clinical and imaging recommendations; randomised trials, systematic reviews and meta-analyses for benefits and harms; prediction models for prognosis only; and narrative reviews for context. In addition to the corpus, adjudication drew on the Cochrane review of interventions for primary VUR, the ACR Appropriateness Criteria, a Lancet review and the VURx index [10,18–20], which were not in the assistant corpus when responses were generated. Each response was classified as fully aligned, partially aligned, oversimplified, discordant, uncertainty-aware, or not adjudicable when options did not map onto guideline recommendations (Multimedia Appendix 1, Tables S4 and S5). Adjudication was not blinded to the source of each response, and the assistant prompt encoded the same source hierarchy used for adjudication; this phase was therefore designed to generate hypotheses, not to test superiority.</w:t>
      </w:r>
    </w:p>
    <w:p>
      <w:pPr>
        <w:pStyle w:val="Heading2"/>
        <w:spacing w:after="100" w:before="200" w:line="480"/>
      </w:pPr>
      <w:r>
        <w:rPr>
          <w:rFonts w:ascii="Times New Roman" w:cs="Times New Roman" w:eastAsia="Times New Roman" w:hAnsi="Times New Roman"/>
          <w:b/>
          <w:bCs/>
          <w:i/>
          <w:iCs/>
          <w:sz w:val="24"/>
          <w:szCs w:val="24"/>
        </w:rPr>
        <w:t xml:space="preserve">Ethical Considerations</w:t>
      </w:r>
    </w:p>
    <w:p>
      <w:pPr>
        <w:spacing w:after="120" w:line="480"/>
        <w:jc w:val="left"/>
      </w:pPr>
      <w:r>
        <w:rPr>
          <w:rFonts w:ascii="Times New Roman" w:cs="Times New Roman" w:eastAsia="Times New Roman" w:hAnsi="Times New Roman"/>
        </w:rPr>
        <w:t xml:space="preserve">The study used published literature and aggregated anonymous responses from a voluntary professional survey; no patient data were used. The Ethics Committee of Virgen de la Arrixaca University Hospital (Murcia, Spain) granted exemption from formal review </w:t>
      </w:r>
      <w:r>
        <w:rPr>
          <w:rFonts w:ascii="Times New Roman" w:cs="Times New Roman" w:eastAsia="Times New Roman" w:hAnsi="Times New Roman"/>
          <w:b/>
          <w:bCs/>
        </w:rPr>
        <w:t xml:space="preserve">[AUTHORS: reference number, if any]</w:t>
      </w:r>
      <w:r>
        <w:rPr>
          <w:rFonts w:ascii="Times New Roman" w:cs="Times New Roman" w:eastAsia="Times New Roman" w:hAnsi="Times New Roman"/>
        </w:rPr>
        <w:t xml:space="preserve">. Survey participants were informed of the purpose of the survey and consent was implied by completion </w:t>
      </w:r>
      <w:r>
        <w:rPr>
          <w:rFonts w:ascii="Times New Roman" w:cs="Times New Roman" w:eastAsia="Times New Roman" w:hAnsi="Times New Roman"/>
          <w:b/>
          <w:bCs/>
        </w:rPr>
        <w:t xml:space="preserve">[AUTHORS: confirm]</w:t>
      </w:r>
      <w:r>
        <w:rPr>
          <w:rFonts w:ascii="Times New Roman" w:cs="Times New Roman" w:eastAsia="Times New Roman" w:hAnsi="Times New Roman"/>
        </w:rPr>
        <w:t xml:space="preserve">. No compensation was offered.</w:t>
      </w:r>
    </w:p>
    <w:p>
      <w:pPr>
        <w:pStyle w:val="Heading1"/>
        <w:spacing w:after="120" w:before="240" w:line="480"/>
      </w:pPr>
      <w:r>
        <w:rPr>
          <w:rFonts w:ascii="Times New Roman" w:cs="Times New Roman" w:eastAsia="Times New Roman" w:hAnsi="Times New Roman"/>
          <w:b/>
          <w:bCs/>
          <w:sz w:val="26"/>
          <w:szCs w:val="26"/>
        </w:rPr>
        <w:t xml:space="preserve">Results</w:t>
      </w:r>
    </w:p>
    <w:p>
      <w:pPr>
        <w:pStyle w:val="Heading2"/>
        <w:spacing w:after="100" w:before="200" w:line="480"/>
      </w:pPr>
      <w:r>
        <w:rPr>
          <w:rFonts w:ascii="Times New Roman" w:cs="Times New Roman" w:eastAsia="Times New Roman" w:hAnsi="Times New Roman"/>
          <w:b/>
          <w:bCs/>
          <w:i/>
          <w:iCs/>
          <w:sz w:val="24"/>
          <w:szCs w:val="24"/>
        </w:rPr>
        <w:t xml:space="preserve">Primary Analysis: Curated Text Versus Original PDFs</w:t>
      </w:r>
    </w:p>
    <w:p>
      <w:pPr>
        <w:spacing w:after="120" w:line="480"/>
        <w:jc w:val="left"/>
      </w:pPr>
      <w:r>
        <w:rPr>
          <w:rFonts w:ascii="Times New Roman" w:cs="Times New Roman" w:eastAsia="Times New Roman" w:hAnsi="Times New Roman"/>
        </w:rPr>
        <w:t xml:space="preserve">Across 50 paired items, the curated arm scored 94/100 and the PDF arm 84/100 (Table 2). The mean item score was 1.88 (SD 0.33) versus 1.68 (SD 0.55), a mean paired difference of 0.20 points (95% CI 0.06–0.36; Wilcoxon </w:t>
      </w:r>
      <w:r>
        <w:rPr>
          <w:rFonts w:ascii="Times New Roman" w:cs="Times New Roman" w:eastAsia="Times New Roman" w:hAnsi="Times New Roman"/>
          <w:i/>
          <w:iCs/>
        </w:rPr>
        <w:t xml:space="preserve">P</w:t>
      </w:r>
      <w:r>
        <w:rPr>
          <w:rFonts w:ascii="Times New Roman" w:cs="Times New Roman" w:eastAsia="Times New Roman" w:hAnsi="Times New Roman"/>
        </w:rPr>
        <w:t xml:space="preserve">=.02; exact conditional </w:t>
      </w:r>
      <w:r>
        <w:rPr>
          <w:rFonts w:ascii="Times New Roman" w:cs="Times New Roman" w:eastAsia="Times New Roman" w:hAnsi="Times New Roman"/>
          <w:i/>
          <w:iCs/>
        </w:rPr>
        <w:t xml:space="preserve">P</w:t>
      </w:r>
      <w:r>
        <w:rPr>
          <w:rFonts w:ascii="Times New Roman" w:cs="Times New Roman" w:eastAsia="Times New Roman" w:hAnsi="Times New Roman"/>
        </w:rPr>
        <w:t xml:space="preserve">=.03). Completely correct answers increased from 36/50 (72%) to 44/50 (88%), a difference of 16 percentage points (95% CI 2–30; exact McNemar </w:t>
      </w:r>
      <w:r>
        <w:rPr>
          <w:rFonts w:ascii="Times New Roman" w:cs="Times New Roman" w:eastAsia="Times New Roman" w:hAnsi="Times New Roman"/>
          <w:i/>
          <w:iCs/>
        </w:rPr>
        <w:t xml:space="preserve">P</w:t>
      </w:r>
      <w:r>
        <w:rPr>
          <w:rFonts w:ascii="Times New Roman" w:cs="Times New Roman" w:eastAsia="Times New Roman" w:hAnsi="Times New Roman"/>
        </w:rPr>
        <w:t xml:space="preserve">=.04). Both arms answered 34 items completely correctly and neither did so in 4 items.</w:t>
      </w:r>
    </w:p>
    <w:p>
      <w:pPr>
        <w:spacing w:after="120" w:line="480"/>
        <w:jc w:val="left"/>
      </w:pPr>
      <w:r>
        <w:rPr>
          <w:rFonts w:ascii="Times New Roman" w:cs="Times New Roman" w:eastAsia="Times New Roman" w:hAnsi="Times New Roman"/>
        </w:rPr>
        <w:t xml:space="preserve">The curated arm scored higher in 10 items, equal in 38 and lower in 2 (Table 3). Improvements occurred in numerical extraction (5 items, including the only two items scored 0 in the PDF arm, from the EAU/ESPU guideline and a meta-analysis), definitions (2), interpretation (2) and study design (1), across 6 of the 12 sources. Both items favouring the PDF arm were guideline flowchart questions. </w:t>
      </w:r>
      <w:r>
        <w:rPr>
          <w:rFonts w:ascii="Times New Roman" w:cs="Times New Roman" w:eastAsia="Times New Roman" w:hAnsi="Times New Roman"/>
          <w:b/>
          <w:bCs/>
        </w:rPr>
        <w:t xml:space="preserve">[AUTHORS: confirm that the two retrieval failures described in the text are P01 and P17, and identify the items containing major errors]</w:t>
      </w:r>
      <w:r>
        <w:rPr>
          <w:rFonts w:ascii="Times New Roman" w:cs="Times New Roman" w:eastAsia="Times New Roman" w:hAnsi="Times New Roman"/>
        </w:rPr>
        <w:t xml:space="preserve"> Major errors occurred in 2/50 PDF-arm and 1/50 curated-arm answers.</w:t>
      </w:r>
    </w:p>
    <w:p>
      <w:pPr>
        <w:spacing w:after="120" w:line="480"/>
        <w:jc w:val="left"/>
      </w:pPr>
      <w:r>
        <w:rPr>
          <w:rFonts w:ascii="Times New Roman" w:cs="Times New Roman" w:eastAsia="Times New Roman" w:hAnsi="Times New Roman"/>
        </w:rPr>
        <w:t xml:space="preserve">The result was fragile: reclassifying one of the 10 improved items as tied would increase the McNemar </w:t>
      </w:r>
      <w:r>
        <w:rPr>
          <w:rFonts w:ascii="Times New Roman" w:cs="Times New Roman" w:eastAsia="Times New Roman" w:hAnsi="Times New Roman"/>
          <w:i/>
          <w:iCs/>
        </w:rPr>
        <w:t xml:space="preserve">P</w:t>
      </w:r>
      <w:r>
        <w:rPr>
          <w:rFonts w:ascii="Times New Roman" w:cs="Times New Roman" w:eastAsia="Times New Roman" w:hAnsi="Times New Roman"/>
        </w:rPr>
        <w:t xml:space="preserve"> value to .07.</w:t>
      </w:r>
    </w:p>
    <w:p>
      <w:pPr>
        <w:pStyle w:val="Heading2"/>
        <w:spacing w:after="100" w:before="200" w:line="480"/>
      </w:pPr>
      <w:r>
        <w:rPr>
          <w:rFonts w:ascii="Times New Roman" w:cs="Times New Roman" w:eastAsia="Times New Roman" w:hAnsi="Times New Roman"/>
          <w:b/>
          <w:bCs/>
          <w:i/>
          <w:iCs/>
          <w:sz w:val="24"/>
          <w:szCs w:val="24"/>
        </w:rPr>
        <w:t xml:space="preserve">Blinded Re-scoring</w:t>
      </w:r>
    </w:p>
    <w:p>
      <w:pPr>
        <w:spacing w:after="120" w:line="480"/>
        <w:jc w:val="left"/>
      </w:pPr>
      <w:r>
        <w:rPr>
          <w:rFonts w:ascii="Times New Roman" w:cs="Times New Roman" w:eastAsia="Times New Roman" w:hAnsi="Times New Roman"/>
        </w:rPr>
        <w:t xml:space="preserve">Blinded re-scoring gave 82/100 for the PDF arm and 93/100 for the curated arm, with 34/50 (68%) and 43/50 (86%) completely correct answers (difference 18 percentage points, 95% CI 4–32; exact McNemar </w:t>
      </w:r>
      <w:r>
        <w:rPr>
          <w:rFonts w:ascii="Times New Roman" w:cs="Times New Roman" w:eastAsia="Times New Roman" w:hAnsi="Times New Roman"/>
          <w:i/>
          <w:iCs/>
        </w:rPr>
        <w:t xml:space="preserve">P</w:t>
      </w:r>
      <w:r>
        <w:rPr>
          <w:rFonts w:ascii="Times New Roman" w:cs="Times New Roman" w:eastAsia="Times New Roman" w:hAnsi="Times New Roman"/>
        </w:rPr>
        <w:t xml:space="preserve">=.02); 11 items favoured the curated arm and 2 the PDF arm. Exact agreement between raters was 92% (PDF arm) and 94% (curated arm), with quadratic-weighted κ of 0.87 and 0.74, respectively. All 4 discordant ratings were single-point differences in completeness; 2 (P10 and P26) reversed the direction of the within-item comparison, and none involved a major error or an opposite clinical conclusion (Multimedia Appendix 1, Table S3).</w:t>
      </w:r>
    </w:p>
    <w:p>
      <w:pPr>
        <w:pStyle w:val="Heading2"/>
        <w:spacing w:after="100" w:before="200" w:line="480"/>
      </w:pPr>
      <w:r>
        <w:rPr>
          <w:rFonts w:ascii="Times New Roman" w:cs="Times New Roman" w:eastAsia="Times New Roman" w:hAnsi="Times New Roman"/>
          <w:b/>
          <w:bCs/>
          <w:i/>
          <w:iCs/>
          <w:sz w:val="24"/>
          <w:szCs w:val="24"/>
        </w:rPr>
        <w:t xml:space="preserve">Exploratory Clinical Comparison</w:t>
      </w:r>
    </w:p>
    <w:p>
      <w:pPr>
        <w:spacing w:after="120" w:line="480"/>
        <w:jc w:val="left"/>
      </w:pPr>
      <w:r>
        <w:rPr>
          <w:rFonts w:ascii="Times New Roman" w:cs="Times New Roman" w:eastAsia="Times New Roman" w:hAnsi="Times New Roman"/>
        </w:rPr>
        <w:t xml:space="preserve">Expert practice was heterogeneous in several of the 11 scenarios, and AI responses varied by tool and by response format (Table 4). Open Evidence frequently selected the option closest to expert majority but did not consistently state whether its answer derived from a current guideline, an older recommendation or a narrower criterion. For cystography after a first febrile UTI (P1), Open Evidence selected the ultrasound-abnormality criterion; the curated assistant classified this option as valid but incomplete, because the corpus guidelines also include atypical UTI and other risk criteria [5,7,18,19]. For the timing of follow-up cystography under prophylaxis (P4–P5), no guideline specifies a single interval, and the curated assistant stated that fixed-timing options were not guideline-specified [5,6,19]. For persistent grade IV–V reflux (P8) and differential renal uptake below 10% (P9–P11), the adjudicated answer depended on whether the question asked about surveillance or about disease-correcting or definitive treatment [5,6,10,15].</w:t>
      </w:r>
    </w:p>
    <w:p>
      <w:pPr>
        <w:pStyle w:val="Heading1"/>
        <w:spacing w:after="120" w:before="240" w:line="480"/>
      </w:pPr>
      <w:r>
        <w:rPr>
          <w:rFonts w:ascii="Times New Roman" w:cs="Times New Roman" w:eastAsia="Times New Roman" w:hAnsi="Times New Roman"/>
          <w:b/>
          <w:bCs/>
          <w:sz w:val="26"/>
          <w:szCs w:val="26"/>
        </w:rPr>
        <w:t xml:space="preserve">Discussion</w:t>
      </w:r>
    </w:p>
    <w:p>
      <w:pPr>
        <w:pStyle w:val="Heading2"/>
        <w:spacing w:after="100" w:before="200" w:line="480"/>
      </w:pPr>
      <w:r>
        <w:rPr>
          <w:rFonts w:ascii="Times New Roman" w:cs="Times New Roman" w:eastAsia="Times New Roman" w:hAnsi="Times New Roman"/>
          <w:b/>
          <w:bCs/>
          <w:i/>
          <w:iCs/>
          <w:sz w:val="24"/>
          <w:szCs w:val="24"/>
        </w:rPr>
        <w:t xml:space="preserve">Principal Findings</w:t>
      </w:r>
    </w:p>
    <w:p>
      <w:pPr>
        <w:spacing w:after="120" w:line="480"/>
        <w:jc w:val="left"/>
      </w:pPr>
      <w:r>
        <w:rPr>
          <w:rFonts w:ascii="Times New Roman" w:cs="Times New Roman" w:eastAsia="Times New Roman" w:hAnsi="Times New Roman"/>
        </w:rPr>
        <w:t xml:space="preserve">With the model, prompt, retrieval tool and questions held constant, manual curation of 12 pediatric VUR/UTI sources improved the accuracy of a RAG assistant by 16 percentage points in completely correct answers. The direction of the effect was reproduced by a blinded second rater, but its statistical significance rested on a small number of discordant items. The gains concentrated on numerical data from guideline tables and meta-analyses, whereas converting flowcharts to text worsened two answers. In an exploratory comparison, agreement with expert majority, agreement between AI tools and guideline-based alignment did not coincide.</w:t>
      </w:r>
    </w:p>
    <w:p>
      <w:pPr>
        <w:pStyle w:val="Heading2"/>
        <w:spacing w:after="100" w:before="200" w:line="480"/>
      </w:pPr>
      <w:r>
        <w:rPr>
          <w:rFonts w:ascii="Times New Roman" w:cs="Times New Roman" w:eastAsia="Times New Roman" w:hAnsi="Times New Roman"/>
          <w:b/>
          <w:bCs/>
          <w:i/>
          <w:iCs/>
          <w:sz w:val="24"/>
          <w:szCs w:val="24"/>
        </w:rPr>
        <w:t xml:space="preserve">Comparison With Prior Work</w:t>
      </w:r>
    </w:p>
    <w:p>
      <w:pPr>
        <w:spacing w:after="120" w:line="480"/>
        <w:jc w:val="left"/>
      </w:pPr>
      <w:r>
        <w:rPr>
          <w:rFonts w:ascii="Times New Roman" w:cs="Times New Roman" w:eastAsia="Times New Roman" w:hAnsi="Times New Roman"/>
        </w:rPr>
        <w:t xml:space="preserve">Engineering reports have described the difficulty of building RAG systems from PDFs and the loss of structure in tables [4,17], and medical RAG benchmarks have shown that pipeline components other than the model strongly influence accuracy [2,3]. Our study adds a paired, domain-specific estimate of the effect of document preparation in a clinical specialty, with blinded re-scoring. The observation that some PDF-arm failures occurred although the datum was present in the source supports the interpretation that part of the effect reflects retrieval of tabulated content rather than missing evidence. The flowchart items show that curation is itself an error-prone step that needs verification.</w:t>
      </w:r>
    </w:p>
    <w:p>
      <w:pPr>
        <w:pStyle w:val="Heading2"/>
        <w:spacing w:after="100" w:before="200" w:line="480"/>
      </w:pPr>
      <w:r>
        <w:rPr>
          <w:rFonts w:ascii="Times New Roman" w:cs="Times New Roman" w:eastAsia="Times New Roman" w:hAnsi="Times New Roman"/>
          <w:b/>
          <w:bCs/>
          <w:i/>
          <w:iCs/>
          <w:sz w:val="24"/>
          <w:szCs w:val="24"/>
        </w:rPr>
        <w:t xml:space="preserve">Implications</w:t>
      </w:r>
    </w:p>
    <w:p>
      <w:pPr>
        <w:spacing w:after="120" w:line="480"/>
        <w:jc w:val="left"/>
      </w:pPr>
      <w:r>
        <w:rPr>
          <w:rFonts w:ascii="Times New Roman" w:cs="Times New Roman" w:eastAsia="Times New Roman" w:hAnsi="Times New Roman"/>
        </w:rPr>
        <w:t xml:space="preserve">For clinicians and institutions building RAG tools, including consumer tools that accept uploaded PDFs, document preparation should be considered part of the system: tabulated numerical results benefit from explicit restatement, flowcharts need careful conversion and checking, and the preparation process should be documented and versioned. For evaluators, the exploratory phase suggests that forced-choice accuracy and agreement with expert majority are insufficient endpoints for guideline-dependent questions, because correct answers may depend on whether a question concerns surveillance or treatment, or may not exist as a single option. These observations are hypotheses for future blinded studies, not evidence of clinical benefit.</w:t>
      </w:r>
    </w:p>
    <w:p>
      <w:pPr>
        <w:pStyle w:val="Heading2"/>
        <w:spacing w:after="100" w:before="200" w:line="480"/>
      </w:pPr>
      <w:r>
        <w:rPr>
          <w:rFonts w:ascii="Times New Roman" w:cs="Times New Roman" w:eastAsia="Times New Roman" w:hAnsi="Times New Roman"/>
          <w:b/>
          <w:bCs/>
          <w:i/>
          <w:iCs/>
          <w:sz w:val="24"/>
          <w:szCs w:val="24"/>
        </w:rPr>
        <w:t xml:space="preserve">Limitations</w:t>
      </w:r>
    </w:p>
    <w:p>
      <w:pPr>
        <w:spacing w:after="120" w:line="480"/>
        <w:jc w:val="left"/>
      </w:pPr>
      <w:r>
        <w:rPr>
          <w:rFonts w:ascii="Times New Roman" w:cs="Times New Roman" w:eastAsia="Times New Roman" w:hAnsi="Times New Roman"/>
        </w:rPr>
        <w:t xml:space="preserve">This study has important limitations. First, the questions were written by the investigators and deliberately targeted content expected to be difficult to retrieve from PDFs, which favours the curated arm and means that the effect should not be generalised to unselected clinical questions. Second, the intervention bundled content restructuring, format change and a 23-fold reduction in corpus size; a smaller, less noisy corpus may by itself improve retrieval, and a design including plain-text extraction without curation would be needed to separate these components. Third, each item was answered once per arm; LLM outputs vary between runs even at temperature 0, and repeated runs would be needed to separate the curation effect from run-to-run variability. Fourth, the effect was statistically fragile. Fifth, both raters were co-investigators and developers of the system; blinding to arm reduces but does not remove this bias, and independent evaluation is required. Sixth, only one model, one retrieval platform and one domain were tested, and platform parsing and model versions change over time. Finally, the exploratory phase was small, qualitative, unblinded and adjudicated by the developers against the same hierarchy encoded in the assistant prompt, and Open Evidence did not have access to the same corpus; it cannot support conclusions about comparative performance. No patient outcomes were assessed.</w:t>
      </w:r>
    </w:p>
    <w:p>
      <w:pPr>
        <w:pStyle w:val="Heading2"/>
        <w:spacing w:after="100" w:before="200" w:line="480"/>
      </w:pPr>
      <w:r>
        <w:rPr>
          <w:rFonts w:ascii="Times New Roman" w:cs="Times New Roman" w:eastAsia="Times New Roman" w:hAnsi="Times New Roman"/>
          <w:b/>
          <w:bCs/>
          <w:i/>
          <w:iCs/>
          <w:sz w:val="24"/>
          <w:szCs w:val="24"/>
        </w:rPr>
        <w:t xml:space="preserve">Conclusions</w:t>
      </w:r>
    </w:p>
    <w:p>
      <w:pPr>
        <w:spacing w:after="120" w:line="480"/>
        <w:jc w:val="left"/>
      </w:pPr>
      <w:r>
        <w:rPr>
          <w:rFonts w:ascii="Times New Roman" w:cs="Times New Roman" w:eastAsia="Times New Roman" w:hAnsi="Times New Roman"/>
        </w:rPr>
        <w:t xml:space="preserve">In this paired evaluation, manual structured curation of source documents modestly improved the accuracy of a RAG assistant for pediatric VUR/UTI, mainly for tabulated numerical data, while flowchart conversion was a failure point. Document preparation should be validated and reported as a component of clinical RAG systems. Whether curated RAG assistants add value to clinical decision-making requires independent, blinded, repeated-run evaluation against clinically meaningful endpoints.</w:t>
      </w:r>
    </w:p>
    <w:p>
      <w:pPr>
        <w:pStyle w:val="Heading1"/>
        <w:spacing w:after="120" w:before="240" w:line="480"/>
      </w:pPr>
      <w:r>
        <w:rPr>
          <w:rFonts w:ascii="Times New Roman" w:cs="Times New Roman" w:eastAsia="Times New Roman" w:hAnsi="Times New Roman"/>
          <w:b/>
          <w:bCs/>
          <w:sz w:val="26"/>
          <w:szCs w:val="26"/>
        </w:rPr>
        <w:t xml:space="preserve">Acknowledgments</w:t>
      </w:r>
    </w:p>
    <w:p>
      <w:pPr>
        <w:spacing w:after="120" w:line="480"/>
        <w:jc w:val="left"/>
      </w:pPr>
      <w:r>
        <w:rPr>
          <w:rFonts w:ascii="Times New Roman" w:cs="Times New Roman" w:eastAsia="Times New Roman" w:hAnsi="Times New Roman"/>
        </w:rPr>
        <w:t xml:space="preserve">The authors thank the members of the Ibero-American Society of Pediatric Urology who participated in the survey. Generative AI tools (ChatGPT, OpenAI; Claude, Anthropic) were used to support drafting, language editing and formatting of this manuscript. The authors reviewed and edited all output, verified the statistical analyses, clinical interpretation and references, and take full responsibility for the content. The RAG assistant evaluated in this study is described in the Methods.</w:t>
      </w:r>
    </w:p>
    <w:p>
      <w:pPr>
        <w:pStyle w:val="Heading1"/>
        <w:spacing w:after="120" w:before="240" w:line="480"/>
      </w:pPr>
      <w:r>
        <w:rPr>
          <w:rFonts w:ascii="Times New Roman" w:cs="Times New Roman" w:eastAsia="Times New Roman" w:hAnsi="Times New Roman"/>
          <w:b/>
          <w:bCs/>
          <w:sz w:val="26"/>
          <w:szCs w:val="26"/>
        </w:rPr>
        <w:t xml:space="preserve">Funding</w:t>
      </w:r>
    </w:p>
    <w:p>
      <w:pPr>
        <w:spacing w:after="120" w:line="480"/>
        <w:jc w:val="left"/>
      </w:pPr>
      <w:r>
        <w:rPr>
          <w:rFonts w:ascii="Times New Roman" w:cs="Times New Roman" w:eastAsia="Times New Roman" w:hAnsi="Times New Roman"/>
        </w:rPr>
        <w:t xml:space="preserve">This research received no specific grant from any funding agency in the public, commercial or not-for-profit sectors.</w:t>
      </w:r>
    </w:p>
    <w:p>
      <w:pPr>
        <w:pStyle w:val="Heading1"/>
        <w:spacing w:after="120" w:before="240" w:line="480"/>
      </w:pPr>
      <w:r>
        <w:rPr>
          <w:rFonts w:ascii="Times New Roman" w:cs="Times New Roman" w:eastAsia="Times New Roman" w:hAnsi="Times New Roman"/>
          <w:b/>
          <w:bCs/>
          <w:sz w:val="26"/>
          <w:szCs w:val="26"/>
        </w:rPr>
        <w:t xml:space="preserve">Data Availability</w:t>
      </w:r>
    </w:p>
    <w:p>
      <w:pPr>
        <w:spacing w:after="120" w:line="480"/>
        <w:jc w:val="left"/>
      </w:pPr>
      <w:r>
        <w:rPr>
          <w:rFonts w:ascii="Times New Roman" w:cs="Times New Roman" w:eastAsia="Times New Roman" w:hAnsi="Times New Roman"/>
        </w:rPr>
        <w:t xml:space="preserve">The system prompt, scoring rubric, item-level scores, inter-rater dataset, question bank with expected answers, verbatim responses, exploratory comparator dataset and adjudication matrix are provided in Multimedia Appendix 1. The copyrighted source documents cannot be redistributed; full references are provided.</w:t>
      </w:r>
    </w:p>
    <w:p>
      <w:pPr>
        <w:pStyle w:val="Heading1"/>
        <w:spacing w:after="120" w:before="240" w:line="480"/>
      </w:pPr>
      <w:r>
        <w:rPr>
          <w:rFonts w:ascii="Times New Roman" w:cs="Times New Roman" w:eastAsia="Times New Roman" w:hAnsi="Times New Roman"/>
          <w:b/>
          <w:bCs/>
          <w:sz w:val="26"/>
          <w:szCs w:val="26"/>
        </w:rPr>
        <w:t xml:space="preserve">Authors' Contributions</w:t>
      </w:r>
    </w:p>
    <w:p>
      <w:pPr>
        <w:spacing w:after="120" w:line="480"/>
        <w:jc w:val="left"/>
      </w:pPr>
      <w:r>
        <w:rPr>
          <w:rFonts w:ascii="Times New Roman" w:cs="Times New Roman" w:eastAsia="Times New Roman" w:hAnsi="Times New Roman"/>
        </w:rPr>
        <w:t xml:space="preserve">GAZC: conceptualization, methodology, data curation (source curation), software, investigation, primary scoring, writing – original draft. AZM: software, blinded re-scoring, formal analysis, writing – original draft and review and editing. ISA and SA: investigation (expert survey), writing – review and editing. </w:t>
      </w:r>
      <w:r>
        <w:rPr>
          <w:rFonts w:ascii="Times New Roman" w:cs="Times New Roman" w:eastAsia="Times New Roman" w:hAnsi="Times New Roman"/>
          <w:b/>
          <w:bCs/>
        </w:rPr>
        <w:t xml:space="preserve">[AUTHORS: confirm CRediT roles]</w:t>
      </w:r>
    </w:p>
    <w:p>
      <w:pPr>
        <w:pStyle w:val="Heading1"/>
        <w:spacing w:after="120" w:before="240" w:line="480"/>
      </w:pPr>
      <w:r>
        <w:rPr>
          <w:rFonts w:ascii="Times New Roman" w:cs="Times New Roman" w:eastAsia="Times New Roman" w:hAnsi="Times New Roman"/>
          <w:b/>
          <w:bCs/>
          <w:sz w:val="26"/>
          <w:szCs w:val="26"/>
        </w:rPr>
        <w:t xml:space="preserve">Conflicts of Interest</w:t>
      </w:r>
    </w:p>
    <w:p>
      <w:pPr>
        <w:spacing w:after="120" w:line="480"/>
        <w:jc w:val="left"/>
      </w:pPr>
      <w:r>
        <w:rPr>
          <w:rFonts w:ascii="Times New Roman" w:cs="Times New Roman" w:eastAsia="Times New Roman" w:hAnsi="Times New Roman"/>
        </w:rPr>
        <w:t xml:space="preserve">GAZC and AZM developed the RAG assistant evaluated in this study and scored the phase 1 answers. The authors have no financial interests in the assistant or in any commercial AI product mentioned. ISA and SA declare no conflicts of interest.</w:t>
      </w:r>
    </w:p>
    <w:p>
      <w:pPr>
        <w:pStyle w:val="Heading1"/>
        <w:spacing w:after="120" w:before="240" w:line="480"/>
      </w:pPr>
      <w:r>
        <w:rPr>
          <w:rFonts w:ascii="Times New Roman" w:cs="Times New Roman" w:eastAsia="Times New Roman" w:hAnsi="Times New Roman"/>
          <w:b/>
          <w:bCs/>
          <w:sz w:val="26"/>
          <w:szCs w:val="26"/>
        </w:rPr>
        <w:t xml:space="preserve">Abbreviations</w:t>
      </w:r>
    </w:p>
    <w:p>
      <w:pPr>
        <w:spacing w:after="20" w:line="300"/>
        <w:jc w:val="left"/>
      </w:pPr>
      <w:r>
        <w:rPr>
          <w:rFonts w:ascii="Times New Roman" w:cs="Times New Roman" w:eastAsia="Times New Roman" w:hAnsi="Times New Roman"/>
        </w:rPr>
        <w:t xml:space="preserve">AI: artificial intelligence</w:t>
      </w:r>
    </w:p>
    <w:p>
      <w:pPr>
        <w:spacing w:after="20" w:line="300"/>
        <w:jc w:val="left"/>
      </w:pPr>
      <w:r>
        <w:rPr>
          <w:rFonts w:ascii="Times New Roman" w:cs="Times New Roman" w:eastAsia="Times New Roman" w:hAnsi="Times New Roman"/>
        </w:rPr>
        <w:t xml:space="preserve">EAU/ESPU: European Association of Urology/European Society for Paediatric Urology</w:t>
      </w:r>
    </w:p>
    <w:p>
      <w:pPr>
        <w:spacing w:after="20" w:line="300"/>
        <w:jc w:val="left"/>
      </w:pPr>
      <w:r>
        <w:rPr>
          <w:rFonts w:ascii="Times New Roman" w:cs="Times New Roman" w:eastAsia="Times New Roman" w:hAnsi="Times New Roman"/>
        </w:rPr>
        <w:t xml:space="preserve">LLM: large language model</w:t>
      </w:r>
    </w:p>
    <w:p>
      <w:pPr>
        <w:spacing w:after="20" w:line="300"/>
        <w:jc w:val="left"/>
      </w:pPr>
      <w:r>
        <w:rPr>
          <w:rFonts w:ascii="Times New Roman" w:cs="Times New Roman" w:eastAsia="Times New Roman" w:hAnsi="Times New Roman"/>
        </w:rPr>
        <w:t xml:space="preserve">PDF: portable document format</w:t>
      </w:r>
    </w:p>
    <w:p>
      <w:pPr>
        <w:spacing w:after="20" w:line="300"/>
        <w:jc w:val="left"/>
      </w:pPr>
      <w:r>
        <w:rPr>
          <w:rFonts w:ascii="Times New Roman" w:cs="Times New Roman" w:eastAsia="Times New Roman" w:hAnsi="Times New Roman"/>
        </w:rPr>
        <w:t xml:space="preserve">RAG: retrieval-augmented generation</w:t>
      </w:r>
    </w:p>
    <w:p>
      <w:pPr>
        <w:spacing w:after="20" w:line="300"/>
        <w:jc w:val="left"/>
      </w:pPr>
      <w:r>
        <w:rPr>
          <w:rFonts w:ascii="Times New Roman" w:cs="Times New Roman" w:eastAsia="Times New Roman" w:hAnsi="Times New Roman"/>
        </w:rPr>
        <w:t xml:space="preserve">SIUP: Ibero-American Society of Pediatric Urology</w:t>
      </w:r>
    </w:p>
    <w:p>
      <w:pPr>
        <w:spacing w:after="20" w:line="300"/>
        <w:jc w:val="left"/>
      </w:pPr>
      <w:r>
        <w:rPr>
          <w:rFonts w:ascii="Times New Roman" w:cs="Times New Roman" w:eastAsia="Times New Roman" w:hAnsi="Times New Roman"/>
        </w:rPr>
        <w:t xml:space="preserve">TRIPOD-LLM: Transparent Reporting of a multivariable model for Individual Prognosis Or Diagnosis–Large Language Model</w:t>
      </w:r>
    </w:p>
    <w:p>
      <w:pPr>
        <w:spacing w:after="20" w:line="300"/>
        <w:jc w:val="left"/>
      </w:pPr>
      <w:r>
        <w:rPr>
          <w:rFonts w:ascii="Times New Roman" w:cs="Times New Roman" w:eastAsia="Times New Roman" w:hAnsi="Times New Roman"/>
        </w:rPr>
        <w:t xml:space="preserve">UTI: urinary tract infection</w:t>
      </w:r>
    </w:p>
    <w:p>
      <w:pPr>
        <w:spacing w:after="20" w:line="300"/>
        <w:jc w:val="left"/>
      </w:pPr>
      <w:r>
        <w:rPr>
          <w:rFonts w:ascii="Times New Roman" w:cs="Times New Roman" w:eastAsia="Times New Roman" w:hAnsi="Times New Roman"/>
        </w:rPr>
        <w:t xml:space="preserve">VUR: vesicoureteral reflux</w:t>
      </w:r>
    </w:p>
    <w:p>
      <w:pPr>
        <w:pStyle w:val="Heading1"/>
        <w:spacing w:after="120" w:before="240" w:line="480"/>
      </w:pPr>
      <w:r>
        <w:rPr>
          <w:rFonts w:ascii="Times New Roman" w:cs="Times New Roman" w:eastAsia="Times New Roman" w:hAnsi="Times New Roman"/>
          <w:b/>
          <w:bCs/>
          <w:sz w:val="26"/>
          <w:szCs w:val="26"/>
        </w:rPr>
        <w:t xml:space="preserve">Multimedia Appendix 1</w:t>
      </w:r>
    </w:p>
    <w:p>
      <w:pPr>
        <w:spacing w:after="120" w:line="480"/>
        <w:jc w:val="left"/>
      </w:pPr>
      <w:r>
        <w:rPr>
          <w:rFonts w:ascii="Times New Roman" w:cs="Times New Roman" w:eastAsia="Times New Roman" w:hAnsi="Times New Roman"/>
        </w:rPr>
        <w:t xml:space="preserve">System prompt (Appendix S1); scoring framework (Table S1); item-level scores (Table S2); blinded re-scoring and inter-rater reliability (Table S3); exploratory comparator dataset (Table S4); adjudication matrix (Table S5); TRIPOD-LLM checklist (Table S6).</w:t>
      </w:r>
    </w:p>
    <w:p>
      <w:r>
        <w:br w:type="page"/>
      </w:r>
    </w:p>
    <w:p>
      <w:pPr>
        <w:pStyle w:val="Heading1"/>
        <w:spacing w:after="120" w:before="240" w:line="480"/>
      </w:pPr>
      <w:r>
        <w:rPr>
          <w:rFonts w:ascii="Times New Roman" w:cs="Times New Roman" w:eastAsia="Times New Roman" w:hAnsi="Times New Roman"/>
          <w:b/>
          <w:bCs/>
          <w:sz w:val="26"/>
          <w:szCs w:val="26"/>
        </w:rPr>
        <w:t xml:space="preserve">References</w:t>
      </w:r>
    </w:p>
    <w:p>
      <w:pPr>
        <w:spacing w:after="80" w:line="360"/>
        <w:jc w:val="left"/>
      </w:pPr>
      <w:r>
        <w:rPr>
          <w:rFonts w:ascii="Times New Roman" w:cs="Times New Roman" w:eastAsia="Times New Roman" w:hAnsi="Times New Roman"/>
        </w:rPr>
        <w:t xml:space="preserve">1. Neha F, Bhati D, Shukla DK. Retrieval-augmented generation (RAG) in healthcare: a comprehensive review. AI. 2025;6(9):226. [doi: 10.3390/ai6090226]</w:t>
      </w:r>
    </w:p>
    <w:p>
      <w:pPr>
        <w:spacing w:after="80" w:line="360"/>
        <w:jc w:val="left"/>
      </w:pPr>
      <w:r>
        <w:rPr>
          <w:rFonts w:ascii="Times New Roman" w:cs="Times New Roman" w:eastAsia="Times New Roman" w:hAnsi="Times New Roman"/>
        </w:rPr>
        <w:t xml:space="preserve">2. Ceresa M, Bertolini L, Comte V, Spadaro N, Raffael B, Toussaint B, et al. Retrieval augmented generation evaluation for health documents. arXiv. Preprint posted online 2025. [doi: 10.48550/arXiv.2505.04680]</w:t>
      </w:r>
    </w:p>
    <w:p>
      <w:pPr>
        <w:spacing w:after="80" w:line="360"/>
        <w:jc w:val="left"/>
      </w:pPr>
      <w:r>
        <w:rPr>
          <w:rFonts w:ascii="Times New Roman" w:cs="Times New Roman" w:eastAsia="Times New Roman" w:hAnsi="Times New Roman"/>
        </w:rPr>
        <w:t xml:space="preserve">3. Xiong G, Jin Q, Lu Z, Zhang A. Benchmarking retrieval-augmented generation for medicine. Findings of the Association for Computational Linguistics: ACL 2024. 2024:6233-6251. [doi: 10.18653/v1/2024.findings-acl.372]</w:t>
      </w:r>
    </w:p>
    <w:p>
      <w:pPr>
        <w:spacing w:after="80" w:line="360"/>
        <w:jc w:val="left"/>
      </w:pPr>
      <w:r>
        <w:rPr>
          <w:rFonts w:ascii="Times New Roman" w:cs="Times New Roman" w:eastAsia="Times New Roman" w:hAnsi="Times New Roman"/>
        </w:rPr>
        <w:t xml:space="preserve">4. Khan AA, Hasan MT, Kemell KK, Rasku J, Abrahamsson P. Developing retrieval augmented generation (RAG) based LLM systems from PDFs: an experience report. arXiv. Preprint posted online 2024. [doi: 10.48550/arXiv.2410.15944]</w:t>
      </w:r>
    </w:p>
    <w:p>
      <w:pPr>
        <w:spacing w:after="80" w:line="360"/>
        <w:jc w:val="left"/>
      </w:pPr>
      <w:r>
        <w:rPr>
          <w:rFonts w:ascii="Times New Roman" w:cs="Times New Roman" w:eastAsia="Times New Roman" w:hAnsi="Times New Roman"/>
        </w:rPr>
        <w:t xml:space="preserve">5. European Association of Urology. EAU Guidelines on Paediatric Urology. EAU Guidelines Office. Arnhem; 2026. ISBN 978-94-92671-32-5 [AUTHORS: edition used in the corpus].</w:t>
      </w:r>
    </w:p>
    <w:p>
      <w:pPr>
        <w:spacing w:after="80" w:line="360"/>
        <w:jc w:val="left"/>
      </w:pPr>
      <w:r>
        <w:rPr>
          <w:rFonts w:ascii="Times New Roman" w:cs="Times New Roman" w:eastAsia="Times New Roman" w:hAnsi="Times New Roman"/>
        </w:rPr>
        <w:t xml:space="preserve">6. Peters CA, Skoog SJ, Arant BS Jr, Copp HL, Elder JS, Hudson RG, et al. Summary of the AUA guideline on management of primary vesicoureteral reflux in children. J Urol. 2010;184(3):1134-1144. [doi: 10.1016/j.juro.2010.05.065]</w:t>
      </w:r>
    </w:p>
    <w:p>
      <w:pPr>
        <w:spacing w:after="80" w:line="360"/>
        <w:jc w:val="left"/>
      </w:pPr>
      <w:r>
        <w:rPr>
          <w:rFonts w:ascii="Times New Roman" w:cs="Times New Roman" w:eastAsia="Times New Roman" w:hAnsi="Times New Roman"/>
        </w:rPr>
        <w:t xml:space="preserve">7. González Rodríguez JD, Fraga Rodríguez GM, García Vera CJ, Gómez Fraile A, Martín Sánchez JI, Mengual Gil JM, et al. Update of the Spanish clinical practice guideline for urinary tract infection in infants and children. Summary of recommendations for diagnosis, treatment and follow-up. An Pediatr (Engl Ed). 2024;101(2):132-144. [doi: 10.1016/j.anpede.2024.07.010]</w:t>
      </w:r>
    </w:p>
    <w:p>
      <w:pPr>
        <w:spacing w:after="80" w:line="360"/>
        <w:jc w:val="left"/>
      </w:pPr>
      <w:r>
        <w:rPr>
          <w:rFonts w:ascii="Times New Roman" w:cs="Times New Roman" w:eastAsia="Times New Roman" w:hAnsi="Times New Roman"/>
        </w:rPr>
        <w:t xml:space="preserve">8. RIVUR Trial Investigators; Hoberman A, Greenfield SP, Mattoo TK, Keren R, Mathews R, Pohl HG, et al. Antimicrobial prophylaxis for children with vesicoureteral reflux. N Engl J Med. 2014;370(25):2367-2376. [doi: 10.1056/NEJMoa1401811]</w:t>
      </w:r>
    </w:p>
    <w:p>
      <w:pPr>
        <w:spacing w:after="80" w:line="360"/>
        <w:jc w:val="left"/>
      </w:pPr>
      <w:r>
        <w:rPr>
          <w:rFonts w:ascii="Times New Roman" w:cs="Times New Roman" w:eastAsia="Times New Roman" w:hAnsi="Times New Roman"/>
        </w:rPr>
        <w:t xml:space="preserve">9. Morello W, Baskin E, Jankauskiene A, Yalcinkaya F, Zurowska A, Puccio G, et al. Antibiotic prophylaxis in infants with grade III, IV, or V vesicoureteral reflux. N Engl J Med. 2023;389(11):987-997. [doi: 10.1056/NEJMoa2300161]</w:t>
      </w:r>
    </w:p>
    <w:p>
      <w:pPr>
        <w:spacing w:after="80" w:line="360"/>
        <w:jc w:val="left"/>
      </w:pPr>
      <w:r>
        <w:rPr>
          <w:rFonts w:ascii="Times New Roman" w:cs="Times New Roman" w:eastAsia="Times New Roman" w:hAnsi="Times New Roman"/>
        </w:rPr>
        <w:t xml:space="preserve">10. Williams G, Hodson EM, Craig JC. Interventions for primary vesicoureteric reflux. Cochrane Database Syst Rev. 2019;2(2):CD001532. [doi: 10.1002/14651858.CD001532.pub5]</w:t>
      </w:r>
    </w:p>
    <w:p>
      <w:pPr>
        <w:spacing w:after="80" w:line="360"/>
        <w:jc w:val="left"/>
      </w:pPr>
      <w:r>
        <w:rPr>
          <w:rFonts w:ascii="Times New Roman" w:cs="Times New Roman" w:eastAsia="Times New Roman" w:hAnsi="Times New Roman"/>
        </w:rPr>
        <w:t xml:space="preserve">11. Meena J, Mathew G, Hari P, Sinha A, Bagga A. Prevalence of bladder and bowel dysfunction in toilet-trained children with urinary tract infection and/or primary vesicoureteral reflux: a systematic review and meta-analysis. Front Pediatr. 2020;8:84. [doi: 10.3389/fped.2020.00084]</w:t>
      </w:r>
    </w:p>
    <w:p>
      <w:pPr>
        <w:spacing w:after="80" w:line="360"/>
        <w:jc w:val="left"/>
      </w:pPr>
      <w:r>
        <w:rPr>
          <w:rFonts w:ascii="Times New Roman" w:cs="Times New Roman" w:eastAsia="Times New Roman" w:hAnsi="Times New Roman"/>
        </w:rPr>
        <w:t xml:space="preserve">12. Arlen AM, Kirsch AJ, Leong T, Cooper CS. Validation of the ureteral diameter ratio for predicting early spontaneous resolution of primary vesicoureteral reflux. J Pediatr Urol. 2017;13(4):383.e1-383.e6. [doi: 10.1016/j.jpurol.2017.01.012]</w:t>
      </w:r>
    </w:p>
    <w:p>
      <w:pPr>
        <w:spacing w:after="80" w:line="360"/>
        <w:jc w:val="left"/>
      </w:pPr>
      <w:r>
        <w:rPr>
          <w:rFonts w:ascii="Times New Roman" w:cs="Times New Roman" w:eastAsia="Times New Roman" w:hAnsi="Times New Roman"/>
        </w:rPr>
        <w:t xml:space="preserve">13. Law ZW, Ong CCP, Yap TL, Loh AHP, Joseph U, Sim SW, et al. Extravesical vs. intravesical ureteric reimplantation for primary vesicoureteral reflux: a systematic review and meta-analysis. Front Pediatr. 2022;10:935082. [doi: 10.3389/fped.2022.935082]</w:t>
      </w:r>
    </w:p>
    <w:p>
      <w:pPr>
        <w:spacing w:after="80" w:line="360"/>
        <w:jc w:val="left"/>
      </w:pPr>
      <w:r>
        <w:rPr>
          <w:rFonts w:ascii="Times New Roman" w:cs="Times New Roman" w:eastAsia="Times New Roman" w:hAnsi="Times New Roman"/>
        </w:rPr>
        <w:t xml:space="preserve">14. Khondker A, Kim JK, Arlen AM, Rickard M, Chua ME, Kirsch AJ, et al. Early spontaneous resolution of vesicoureteral reflux from voiding cystourethrogram: a comparison of contemporary prediction models. J Pediatr Urol. 2025;21:999-1004. [doi: 10.1016/j.jpurol.2025.04.030]</w:t>
      </w:r>
    </w:p>
    <w:p>
      <w:pPr>
        <w:spacing w:after="80" w:line="360"/>
        <w:jc w:val="left"/>
      </w:pPr>
      <w:r>
        <w:rPr>
          <w:rFonts w:ascii="Times New Roman" w:cs="Times New Roman" w:eastAsia="Times New Roman" w:hAnsi="Times New Roman"/>
        </w:rPr>
        <w:t xml:space="preserve">15. Mina-Riascos SH, Fernández N, García-Perdomo HA. Effectiveness and risks of endoscopic management compared to vesicoureteral reimplantation in patients with high-grade vesicoureteral reflux: systematic review and network meta-analysis. Eur J Pediatr. 2021;180(5):1383-1391. [doi: 10.1007/s00431-021-03948-w]</w:t>
      </w:r>
    </w:p>
    <w:p>
      <w:pPr>
        <w:spacing w:after="80" w:line="360"/>
        <w:jc w:val="left"/>
      </w:pPr>
      <w:r>
        <w:rPr>
          <w:rFonts w:ascii="Times New Roman" w:cs="Times New Roman" w:eastAsia="Times New Roman" w:hAnsi="Times New Roman"/>
        </w:rPr>
        <w:t xml:space="preserve">16. Jhaveri H, Stewart A, Aitelli A, Kaplan S, Routh JC. Efficacy of antibiotic prophylaxis in children with vesicoureteral reflux: systematic review and meta-analysis of randomized clinical trials. J Pediatr Urol. 2026;22(3):105829. [doi: 10.1016/j.jpurol.2026.105829]</w:t>
      </w:r>
    </w:p>
    <w:p>
      <w:pPr>
        <w:spacing w:after="80" w:line="360"/>
        <w:jc w:val="left"/>
      </w:pPr>
      <w:r>
        <w:rPr>
          <w:rFonts w:ascii="Times New Roman" w:cs="Times New Roman" w:eastAsia="Times New Roman" w:hAnsi="Times New Roman"/>
        </w:rPr>
        <w:t xml:space="preserve">17. Zhang C, Chen Q, Zhang M. Mixture-of-RAG: integrating text and tables with large language models. arXiv. Preprint posted online April 13, 2025. [doi: 10.48550/arXiv.2504.09554]</w:t>
      </w:r>
    </w:p>
    <w:p>
      <w:pPr>
        <w:spacing w:after="80" w:line="360"/>
        <w:jc w:val="left"/>
      </w:pPr>
      <w:r>
        <w:rPr>
          <w:rFonts w:ascii="Times New Roman" w:cs="Times New Roman" w:eastAsia="Times New Roman" w:hAnsi="Times New Roman"/>
        </w:rPr>
        <w:t xml:space="preserve">18. Tullus K, Shaikh N. Urinary tract infections in children. Lancet. 2020;395(10237):1659-1668. [doi: 10.1016/S0140-6736(20)30676-0]</w:t>
      </w:r>
    </w:p>
    <w:p>
      <w:pPr>
        <w:spacing w:after="80" w:line="360"/>
        <w:jc w:val="left"/>
      </w:pPr>
      <w:r>
        <w:rPr>
          <w:rFonts w:ascii="Times New Roman" w:cs="Times New Roman" w:eastAsia="Times New Roman" w:hAnsi="Times New Roman"/>
        </w:rPr>
        <w:t xml:space="preserve">19. Chandra T, Bajaj M, Iyer RS, Chan SS, Bardo DME, Chen J, et al. ACR Appropriateness Criteria® Urinary Tract Infection-Child: 2023 update. J Am Coll Radiol. 2024;21(6S):S326-S342. [doi: 10.1016/j.jacr.2024.02.025]</w:t>
      </w:r>
    </w:p>
    <w:p>
      <w:pPr>
        <w:spacing w:after="80" w:line="360"/>
        <w:jc w:val="left"/>
      </w:pPr>
      <w:r>
        <w:rPr>
          <w:rFonts w:ascii="Times New Roman" w:cs="Times New Roman" w:eastAsia="Times New Roman" w:hAnsi="Times New Roman"/>
        </w:rPr>
        <w:t xml:space="preserve">20. Kirsch AJ, Arlen AM, Leong T, Merriman LS, Herrel LA, Scherz HC, et al. Vesicoureteral reflux index (VURx): a novel tool to predict primary reflux improvement and resolution in children less than 2 years of age. J Pediatr Urol. 2014;10(6):1249-1254. [doi: 10.1016/j.jpurol.2014.06.019]</w:t>
      </w:r>
    </w:p>
    <w:p>
      <w:pPr>
        <w:spacing w:after="80" w:line="360"/>
        <w:jc w:val="left"/>
      </w:pPr>
      <w:r>
        <w:rPr>
          <w:rFonts w:ascii="Times New Roman" w:cs="Times New Roman" w:eastAsia="Times New Roman" w:hAnsi="Times New Roman"/>
        </w:rPr>
        <w:t xml:space="preserve">21. Fang H, Yu X, Yu Y, Liu Z, Liu X, Hua Y, et al. A novel clinical score to predict breakthrough urinary tract infection in children with VUR: meta-analytic derivation and real-world validation. Pediatr Nephrol. 2026;41:1097-1110. [doi: 10.1007/s00467-025-07067-8]</w:t>
      </w:r>
    </w:p>
    <w:p>
      <w:pPr>
        <w:spacing w:after="80" w:line="360"/>
        <w:jc w:val="left"/>
      </w:pPr>
      <w:r>
        <w:rPr>
          <w:rFonts w:ascii="Times New Roman" w:cs="Times New Roman" w:eastAsia="Times New Roman" w:hAnsi="Times New Roman"/>
        </w:rPr>
        <w:t xml:space="preserve">22. Gallifant J, Afshar M, Ameen S, et al. The TRIPOD-LLM reporting guideline for studies using large language models. Nat Med. 2025;31(1):60-69. [doi: 10.1038/s41591-024-03425-5]</w:t>
      </w:r>
    </w:p>
    <w:p>
      <w:r>
        <w:br w:type="page"/>
      </w:r>
    </w:p>
    <w:p>
      <w:pPr>
        <w:spacing w:after="120" w:before="240" w:line="276"/>
      </w:pPr>
      <w:r>
        <w:rPr>
          <w:rFonts w:ascii="Times New Roman" w:cs="Times New Roman" w:eastAsia="Times New Roman" w:hAnsi="Times New Roman"/>
          <w:b/>
          <w:bCs/>
          <w:sz w:val="22"/>
          <w:szCs w:val="22"/>
        </w:rPr>
        <w:t xml:space="preserve">Table 1.</w:t>
      </w:r>
      <w:r>
        <w:rPr>
          <w:rFonts w:ascii="Times New Roman" w:cs="Times New Roman" w:eastAsia="Times New Roman" w:hAnsi="Times New Roman"/>
          <w:sz w:val="22"/>
          <w:szCs w:val="22"/>
        </w:rPr>
        <w:t xml:space="preserve"> Sources in the corpus and distribution of the 50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900"/>
        <w:gridCol w:w="3300"/>
      </w:tblGrid>
      <w:tr>
        <w:trPr>
          <w:tblHeader/>
        </w:trPr>
        <w:tc>
          <w:tcPr>
            <w:tcW w:type="dxa" w:w="3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Source</w:t>
            </w:r>
          </w:p>
        </w:tc>
        <w:tc>
          <w:tcPr>
            <w:tcW w:type="dxa" w:w="18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Type</w:t>
            </w:r>
          </w:p>
        </w:tc>
        <w:tc>
          <w:tcPr>
            <w:tcW w:type="dxa" w:w="9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Items, n</w:t>
            </w:r>
          </w:p>
        </w:tc>
        <w:tc>
          <w:tcPr>
            <w:tcW w:type="dxa" w:w="33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Question types</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EAU/ESPU Paediatric Urology guideline [5]</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Guideline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10</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(5), definition (2), algorithm (2), interpretation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AUA VUR guideline [6]</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Guideline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Spanish pediatric UTI guideline [7]</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Guideline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Definition (1), numerical extraction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RIVUR [8]</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Randomised trial</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(3), interpretation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PREDICT [9]</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Randomised trial</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3</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Study design (2), numerical extraction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Jhaveri et al [16]</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Meta-analysis of RCTs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5</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(3), interpretation (2)</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Meena et al [11]</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Meta-analysis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(3), study design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Law et al [13]</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Meta-analysis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3</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(2), interpretation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Mina-Riascos et al [15]</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Network meta-analysis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3</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(2), study design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Arlen et al [12]</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Prediction study</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(3), study design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Khondker et al [14]</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Prediction-model comparison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6</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(5), study design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Fang et al [21]</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Prediction score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5</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Score (3), interpretation (1), extraction/interpretation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Total</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50</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p>
        </w:tc>
      </w:tr>
    </w:tbl>
    <w:p>
      <w:pPr>
        <w:spacing w:after="120" w:before="240" w:line="276"/>
      </w:pPr>
      <w:r>
        <w:rPr>
          <w:rFonts w:ascii="Times New Roman" w:cs="Times New Roman" w:eastAsia="Times New Roman" w:hAnsi="Times New Roman"/>
          <w:b/>
          <w:bCs/>
          <w:sz w:val="22"/>
          <w:szCs w:val="22"/>
        </w:rPr>
        <w:t xml:space="preserve">Table 2.</w:t>
      </w:r>
      <w:r>
        <w:rPr>
          <w:rFonts w:ascii="Times New Roman" w:cs="Times New Roman" w:eastAsia="Times New Roman" w:hAnsi="Times New Roman"/>
          <w:sz w:val="22"/>
          <w:szCs w:val="22"/>
        </w:rPr>
        <w:t xml:space="preserve"> Primary analysis: paired performance of the PDF and curated-text arms (n=50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300"/>
        <w:gridCol w:w="2000"/>
        <w:gridCol w:w="1300"/>
      </w:tblGrid>
      <w:tr>
        <w:trPr>
          <w:tblHeader/>
        </w:trPr>
        <w:tc>
          <w:tcPr>
            <w:tcW w:type="dxa" w:w="32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Outcome</w:t>
            </w:r>
          </w:p>
        </w:tc>
        <w:tc>
          <w:tcPr>
            <w:tcW w:type="dxa" w:w="12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PDF arm</w:t>
            </w:r>
          </w:p>
        </w:tc>
        <w:tc>
          <w:tcPr>
            <w:tcW w:type="dxa" w:w="13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Curated arm</w:t>
            </w:r>
          </w:p>
        </w:tc>
        <w:tc>
          <w:tcPr>
            <w:tcW w:type="dxa" w:w="2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Difference (95% CI)</w:t>
            </w:r>
          </w:p>
        </w:tc>
        <w:tc>
          <w:tcPr>
            <w:tcW w:type="dxa" w:w="13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P value</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Total score (/100)</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84</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94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Mean item score (SD)</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1.68 (0.55)</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1.88 (0.33)</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0.20 (0.06 to 0.36)</w:t>
            </w:r>
            <w:r>
              <w:rPr>
                <w:rFonts w:ascii="Times New Roman" w:cs="Times New Roman" w:eastAsia="Times New Roman" w:hAnsi="Times New Roman"/>
                <w:b w:val="false"/>
                <w:bCs w:val="false"/>
                <w:sz w:val="18"/>
                <w:szCs w:val="18"/>
                <w:vertAlign w:val="superscript"/>
              </w:rPr>
              <w:t xml:space="preserve">a</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.02</w:t>
            </w:r>
            <w:r>
              <w:rPr>
                <w:rFonts w:ascii="Times New Roman" w:cs="Times New Roman" w:eastAsia="Times New Roman" w:hAnsi="Times New Roman"/>
                <w:b w:val="false"/>
                <w:bCs w:val="false"/>
                <w:sz w:val="18"/>
                <w:szCs w:val="18"/>
                <w:vertAlign w:val="superscript"/>
              </w:rPr>
              <w:t xml:space="preserve">b</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Completely correct, n (%)</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36 (72)</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44 (88)</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16 points (2 to 30)</w:t>
            </w:r>
            <w:r>
              <w:rPr>
                <w:rFonts w:ascii="Times New Roman" w:cs="Times New Roman" w:eastAsia="Times New Roman" w:hAnsi="Times New Roman"/>
                <w:b w:val="false"/>
                <w:bCs w:val="false"/>
                <w:sz w:val="18"/>
                <w:szCs w:val="18"/>
                <w:vertAlign w:val="superscript"/>
              </w:rPr>
              <w:t xml:space="preserve">c</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.04</w:t>
            </w:r>
            <w:r>
              <w:rPr>
                <w:rFonts w:ascii="Times New Roman" w:cs="Times New Roman" w:eastAsia="Times New Roman" w:hAnsi="Times New Roman"/>
                <w:b w:val="false"/>
                <w:bCs w:val="false"/>
                <w:sz w:val="18"/>
                <w:szCs w:val="18"/>
                <w:vertAlign w:val="superscript"/>
              </w:rPr>
              <w:t xml:space="preserve">d</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Items improved / tied / worsened</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10 / 38 / 2</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.04</w:t>
            </w:r>
            <w:r>
              <w:rPr>
                <w:rFonts w:ascii="Times New Roman" w:cs="Times New Roman" w:eastAsia="Times New Roman" w:hAnsi="Times New Roman"/>
                <w:b w:val="false"/>
                <w:bCs w:val="false"/>
                <w:sz w:val="18"/>
                <w:szCs w:val="18"/>
                <w:vertAlign w:val="superscript"/>
              </w:rPr>
              <w:t xml:space="preserve">e</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Major errors, n (%)</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 (4)</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 (2)</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Blinded re-scoring: total score (/100)</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82</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93</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+11</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Blinded re-scoring: completely correct, n (%)</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34 (68)</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43 (86)</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18 points (4 to 32)</w:t>
            </w:r>
            <w:r>
              <w:rPr>
                <w:rFonts w:ascii="Times New Roman" w:cs="Times New Roman" w:eastAsia="Times New Roman" w:hAnsi="Times New Roman"/>
                <w:b w:val="false"/>
                <w:bCs w:val="false"/>
                <w:sz w:val="18"/>
                <w:szCs w:val="18"/>
                <w:vertAlign w:val="superscript"/>
              </w:rPr>
              <w:t xml:space="preserve">c</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.02</w:t>
            </w:r>
            <w:r>
              <w:rPr>
                <w:rFonts w:ascii="Times New Roman" w:cs="Times New Roman" w:eastAsia="Times New Roman" w:hAnsi="Times New Roman"/>
                <w:b w:val="false"/>
                <w:bCs w:val="false"/>
                <w:sz w:val="18"/>
                <w:szCs w:val="18"/>
                <w:vertAlign w:val="superscript"/>
              </w:rPr>
              <w:t xml:space="preserve">d</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Inter-rater quadratic-weighted κ</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0.87</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0.74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r>
    </w:tbl>
    <w:p>
      <w:pPr>
        <w:spacing w:after="120" w:before="240" w:line="276"/>
      </w:pPr>
      <w:r>
        <w:rPr>
          <w:rFonts w:ascii="Times New Roman" w:cs="Times New Roman" w:eastAsia="Times New Roman" w:hAnsi="Times New Roman"/>
          <w:b/>
          <w:bCs/>
          <w:sz w:val="22"/>
          <w:szCs w:val="22"/>
        </w:rPr>
        <w:t xml:space="preserve">Table 3.</w:t>
      </w:r>
      <w:r>
        <w:rPr>
          <w:rFonts w:ascii="Times New Roman" w:cs="Times New Roman" w:eastAsia="Times New Roman" w:hAnsi="Times New Roman"/>
          <w:sz w:val="22"/>
          <w:szCs w:val="22"/>
        </w:rPr>
        <w:t xml:space="preserve"> Items with discordant scores between arms (primary scoring).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800"/>
        <w:gridCol w:w="1000"/>
        <w:gridCol w:w="1000"/>
      </w:tblGrid>
      <w:tr>
        <w:trPr>
          <w:tblHeader/>
        </w:trPr>
        <w:tc>
          <w:tcPr>
            <w:tcW w:type="dxa" w:w="9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Item</w:t>
            </w:r>
          </w:p>
        </w:tc>
        <w:tc>
          <w:tcPr>
            <w:tcW w:type="dxa" w:w="23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Source</w:t>
            </w:r>
          </w:p>
        </w:tc>
        <w:tc>
          <w:tcPr>
            <w:tcW w:type="dxa" w:w="28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Question type</w:t>
            </w:r>
          </w:p>
        </w:tc>
        <w:tc>
          <w:tcPr>
            <w:tcW w:type="dxa" w:w="1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PDF</w:t>
            </w:r>
          </w:p>
        </w:tc>
        <w:tc>
          <w:tcPr>
            <w:tcW w:type="dxa" w:w="1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Curated</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P01</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EAU/ESPU</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P17</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Jhaveri et al</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P02</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EAU/ESPU</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P12</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RIVUR</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P34</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Khondker et al</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P06</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EAU/ESPU</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Definition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P07</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EAU/ESPU</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Definition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P19</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Jhaveri et al</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Interpretation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P25</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Law et al</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Interpretation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P26</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Mina-Riascos et al</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Study design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P04</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EAU/ESPU</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Algorithm (flowchart)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P10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EAU/ESPU</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Algorithm (flowchart)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r>
    </w:tbl>
    <w:p>
      <w:pPr>
        <w:spacing w:after="120" w:before="240" w:line="276"/>
      </w:pPr>
      <w:r>
        <w:rPr>
          <w:rFonts w:ascii="Times New Roman" w:cs="Times New Roman" w:eastAsia="Times New Roman" w:hAnsi="Times New Roman"/>
          <w:b/>
          <w:bCs/>
          <w:sz w:val="22"/>
          <w:szCs w:val="22"/>
        </w:rPr>
        <w:t xml:space="preserve">Table 4.</w:t>
      </w:r>
      <w:r>
        <w:rPr>
          <w:rFonts w:ascii="Times New Roman" w:cs="Times New Roman" w:eastAsia="Times New Roman" w:hAnsi="Times New Roman"/>
          <w:sz w:val="22"/>
          <w:szCs w:val="22"/>
        </w:rPr>
        <w:t xml:space="preserve"> Exploratory comparison: key items (unblinded adjudication by the developers).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00"/>
      </w:tblGrid>
      <w:tr>
        <w:trPr>
          <w:tblHeader/>
        </w:trPr>
        <w:tc>
          <w:tcPr>
            <w:tcW w:type="dxa" w:w="9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Item</w:t>
            </w:r>
          </w:p>
        </w:tc>
        <w:tc>
          <w:tcPr>
            <w:tcW w:type="dxa" w:w="3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Clinical question</w:t>
            </w:r>
          </w:p>
        </w:tc>
        <w:tc>
          <w:tcPr>
            <w:tcW w:type="dxa" w:w="51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Observation</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P1</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Cystography or contrast-enhanced voiding urosonography after a first febrile UTI</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Open Evidence selected the ultrasound-abnormality criterion; the curated assistant classified it as valid but incomplete (atypical UTI and other risk criteria also apply).</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P4–P5</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Timing of follow-up cystography under antibiotic prophylaxis</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No single guideline-specified interval; the curated assistant stated that fixed-timing options were not guideline-specified. Items unsuitable for single-answer scoring.</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P8</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Persistent grade IV–V VUR at 2–3 years</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Answer depends on whether the question concerns surveillance (continued prophylaxis) or disease-correcting treatment (surgical correction).</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P9–P10</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VUR with differential renal uptake &lt;10%, asymptomatic</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Observation may be reasonable but is not equivalent to active treatment of a nearly non-functioning unit; wording conflates both.</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P11</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Symptomatic VUR despite prophylaxis with uptake &lt;10%</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With breakthrough infections despite prophylaxis, nephrectomy is the coherent active treatment in selected patients with a functioning contralateral kidney.</w:t>
            </w:r>
          </w:p>
        </w:tc>
      </w:tr>
    </w:tbl>
    <w:sectPr>
      <w:footerReference w:type="default" r:id="rId7"/>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2026-09-27T17:49:13.130Z</dcterms:created>
  <dcterms:modified xsi:type="dcterms:W3CDTF">2026-09-27T17:49:13.130Z</dcterms:modified>
</cp:coreProperties>
</file>

<file path=docProps/custom.xml><?xml version="1.0" encoding="utf-8"?>
<Properties xmlns="http://schemas.openxmlformats.org/officeDocument/2006/custom-properties" xmlns:vt="http://schemas.openxmlformats.org/officeDocument/2006/docPropsVTypes"/>
</file>