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center"/>
      </w:pPr>
      <w:r>
        <w:rPr>
          <w:rFonts w:ascii="Times New Roman" w:cs="Times New Roman" w:eastAsia="Times New Roman" w:hAnsi="Times New Roman"/>
          <w:b/>
          <w:bCs/>
        </w:rPr>
        <w:t xml:space="preserve">Structured Curation of Complex Medical Sources Improves Retrieval Accuracy and Guideline Alignment in a Retrieval-Augmented Generation System for Pediatric Vesicoureteral Reflux: A Two-Phase Methodological Study</w:t>
      </w:r>
    </w:p>
    <w:p>
      <w:pPr>
        <w:spacing w:after="120" w:line="480"/>
        <w:jc w:val="left"/>
      </w:pPr>
      <w:r>
        <w:rPr>
          <w:rFonts w:ascii="Times New Roman" w:cs="Times New Roman" w:eastAsia="Times New Roman" w:hAnsi="Times New Roman"/>
        </w:rPr>
        <w:t xml:space="preserve">Running title: Structured curation and RAG evaluation in pediatric VUR</w:t>
      </w:r>
    </w:p>
    <w:p>
      <w:pPr>
        <w:spacing w:after="120" w:line="480"/>
        <w:jc w:val="left"/>
      </w:pPr>
      <w:r>
        <w:rPr>
          <w:rFonts w:ascii="Times New Roman" w:cs="Times New Roman" w:eastAsia="Times New Roman" w:hAnsi="Times New Roman"/>
        </w:rPr>
        <w:t xml:space="preserve">Article type: Original Article</w:t>
      </w:r>
    </w:p>
    <w:p>
      <w:pPr>
        <w:spacing w:after="120" w:line="480"/>
        <w:jc w:val="left"/>
      </w:pPr>
      <w:r>
        <w:rPr>
          <w:rFonts w:ascii="Times New Roman" w:cs="Times New Roman" w:eastAsia="Times New Roman" w:hAnsi="Times New Roman"/>
        </w:rPr>
        <w:t xml:space="preserve">Keywords: artificial intelligence; retrieval-augmented generation; vesicoureteral reflux; urinary tract infection; pediatric urology; clinical decision support</w:t>
      </w:r>
    </w:p>
    <w:p>
      <w:pPr>
        <w:spacing w:after="120" w:line="480"/>
        <w:jc w:val="left"/>
      </w:pPr>
      <w:r>
        <w:rPr>
          <w:rFonts w:ascii="Times New Roman" w:cs="Times New Roman" w:eastAsia="Times New Roman" w:hAnsi="Times New Roman"/>
          <w:i/>
          <w:iCs/>
        </w:rPr>
        <w:t xml:space="preserve">Anonymised manuscript for peer review. Author names, affiliations and institutional identifiers are provided in the separate title page.</w:t>
      </w:r>
    </w:p>
    <w:p>
      <w:pPr>
        <w:pStyle w:val="Heading1"/>
        <w:spacing w:after="120" w:before="240" w:line="480"/>
      </w:pPr>
      <w:r>
        <w:rPr>
          <w:rFonts w:ascii="Times New Roman" w:cs="Times New Roman" w:eastAsia="Times New Roman" w:hAnsi="Times New Roman"/>
          <w:b/>
          <w:bCs/>
          <w:sz w:val="26"/>
          <w:szCs w:val="26"/>
        </w:rPr>
        <w:t xml:space="preserve">Abstract</w:t>
      </w:r>
    </w:p>
    <w:p>
      <w:pPr>
        <w:spacing w:after="120" w:line="480"/>
        <w:jc w:val="left"/>
      </w:pPr>
      <w:r>
        <w:rPr>
          <w:rFonts w:ascii="Times New Roman" w:cs="Times New Roman" w:eastAsia="Times New Roman" w:hAnsi="Times New Roman"/>
          <w:b/>
          <w:bCs/>
        </w:rPr>
        <w:t xml:space="preserve">Introduction:</w:t>
      </w:r>
      <w:r>
        <w:rPr>
          <w:rFonts w:ascii="Times New Roman" w:cs="Times New Roman" w:eastAsia="Times New Roman" w:hAnsi="Times New Roman"/>
        </w:rPr>
        <w:t xml:space="preserve"> Clinical decision-making in pediatric urinary tract infection (UTI) and vesicoureteral reflux (VUR) remains heterogeneous. Generic and biomedical artificial intelligence (AI) systems may provide plausible but divergent answers whose sources, source hierarchy and handling of uncertainty are difficult to audit. Retrieval-augmented generation (RAG) may offer a more transparent approach, but only if the evidence corpus is curated and interpreted within an explicit guideline hierarchy.</w:t>
      </w:r>
    </w:p>
    <w:p>
      <w:pPr>
        <w:spacing w:after="120" w:line="480"/>
        <w:jc w:val="left"/>
      </w:pPr>
      <w:r>
        <w:rPr>
          <w:rFonts w:ascii="Times New Roman" w:cs="Times New Roman" w:eastAsia="Times New Roman" w:hAnsi="Times New Roman"/>
          <w:b/>
          <w:bCs/>
        </w:rPr>
        <w:t xml:space="preserve">Objective:</w:t>
      </w:r>
      <w:r>
        <w:rPr>
          <w:rFonts w:ascii="Times New Roman" w:cs="Times New Roman" w:eastAsia="Times New Roman" w:hAnsi="Times New Roman"/>
        </w:rPr>
        <w:t xml:space="preserve"> To evaluate whether structured curation of complex sources improves a RAG system for pediatric UTI/VUR, and to explore how the curated evaluator compares with expert practice and a biomedical AI system in clinically controversial scenarios.</w:t>
      </w:r>
    </w:p>
    <w:p>
      <w:pPr>
        <w:spacing w:after="120" w:line="480"/>
        <w:jc w:val="left"/>
      </w:pPr>
      <w:r>
        <w:rPr>
          <w:rFonts w:ascii="Times New Roman" w:cs="Times New Roman" w:eastAsia="Times New Roman" w:hAnsi="Times New Roman"/>
          <w:b/>
          <w:bCs/>
        </w:rPr>
        <w:t xml:space="preserve">Study design:</w:t>
      </w:r>
      <w:r>
        <w:rPr>
          <w:rFonts w:ascii="Times New Roman" w:cs="Times New Roman" w:eastAsia="Times New Roman" w:hAnsi="Times New Roman"/>
        </w:rPr>
        <w:t xml:space="preserve"> Two-phase methodological study. In phase 1, two GPT-4o RAG assistants, identical except for source format (12 original PDFs versus manually curated structured-text versions of the same sources), answered a predefined 50-item question bank. Item scores (0–2) were compared with paired tests and re-scored by a co-investigator blinded to arm assignment. In phase 2, 11 clinical questions shared with a structured survey of 30 experienced pediatric urologists from the Ibero-American Society of Pediatric Urology (SIUP) were answered by Open Evidence and by the curated evaluator; all responses were adjudicated against a predefined source hierarchy rather than expert majority alone.</w:t>
      </w:r>
    </w:p>
    <w:p>
      <w:pPr>
        <w:spacing w:after="120" w:line="480"/>
        <w:jc w:val="left"/>
      </w:pPr>
      <w:r>
        <w:rPr>
          <w:rFonts w:ascii="Times New Roman" w:cs="Times New Roman" w:eastAsia="Times New Roman" w:hAnsi="Times New Roman"/>
          <w:b/>
          <w:bCs/>
        </w:rPr>
        <w:t xml:space="preserve">Results:</w:t>
      </w:r>
      <w:r>
        <w:rPr>
          <w:rFonts w:ascii="Times New Roman" w:cs="Times New Roman" w:eastAsia="Times New Roman" w:hAnsi="Times New Roman"/>
        </w:rPr>
        <w:t xml:space="preserve"> The curated-text arm scored 94/100 versus 84/100 for the raw-PDF arm (mean item score 1.88 vs 1.68; Wilcoxon p=0.019) and produced more completely correct answers (44/50 [88%] vs 36/50 [72%]; McNemar p=0.039). Major errors were infrequent (1 vs 2). Blinded re-scoring reproduced the advantage (93 vs 82/100) with high inter-rater agreement (quadratic-weighted κ 0.87 and 0.74). In phase 2, expert-majority agreement, AI agreement and guideline alignment were not equivalent. AI answers could match expert practice while relying on narrower source reasoning, whereas the curated evaluator more often identified incomplete answer options, questions without a single guideline-based answer, and the distinction between conservative surveillance and disease-correcting treatment.</w:t>
      </w:r>
    </w:p>
    <w:p>
      <w:pPr>
        <w:spacing w:after="120" w:line="480"/>
        <w:jc w:val="left"/>
      </w:pPr>
      <w:r>
        <w:rPr>
          <w:rFonts w:ascii="Times New Roman" w:cs="Times New Roman" w:eastAsia="Times New Roman" w:hAnsi="Times New Roman"/>
          <w:b/>
          <w:bCs/>
        </w:rPr>
        <w:t xml:space="preserve">Discussion:</w:t>
      </w:r>
      <w:r>
        <w:rPr>
          <w:rFonts w:ascii="Times New Roman" w:cs="Times New Roman" w:eastAsia="Times New Roman" w:hAnsi="Times New Roman"/>
        </w:rPr>
        <w:t xml:space="preserve"> RAG performance depended on document preparation as well as on the language model: information present in raw PDFs was not always retrieved. Forced-choice accuracy and agreement with expert majority are insufficient endpoints for guideline-dependent questions. Limitations include investigator-developed questions, developer-led evaluation and a small exploratory clinical set.</w:t>
      </w:r>
    </w:p>
    <w:p>
      <w:pPr>
        <w:spacing w:after="120" w:line="480"/>
        <w:jc w:val="left"/>
      </w:pPr>
      <w:r>
        <w:rPr>
          <w:rFonts w:ascii="Times New Roman" w:cs="Times New Roman" w:eastAsia="Times New Roman" w:hAnsi="Times New Roman"/>
          <w:b/>
          <w:bCs/>
        </w:rPr>
        <w:t xml:space="preserve">Conclusion:</w:t>
      </w:r>
      <w:r>
        <w:rPr>
          <w:rFonts w:ascii="Times New Roman" w:cs="Times New Roman" w:eastAsia="Times New Roman" w:hAnsi="Times New Roman"/>
        </w:rPr>
        <w:t xml:space="preserve"> Structured source curation improved RAG performance in pediatric VUR/UTI. A curated evaluator may act as a clinical-documentary auditor of guideline alignment, source hierarchy and uncertainty, supporting rather than replacing the judgment of the pediatric urologist.</w:t>
      </w:r>
    </w:p>
    <w:p>
      <w:r>
        <w:br w:type="page"/>
      </w:r>
    </w:p>
    <w:p>
      <w:pPr>
        <w:pStyle w:val="Heading1"/>
        <w:spacing w:after="120" w:before="240" w:line="480"/>
      </w:pPr>
      <w:r>
        <w:rPr>
          <w:rFonts w:ascii="Times New Roman" w:cs="Times New Roman" w:eastAsia="Times New Roman" w:hAnsi="Times New Roman"/>
          <w:b/>
          <w:bCs/>
          <w:sz w:val="26"/>
          <w:szCs w:val="26"/>
        </w:rPr>
        <w:t xml:space="preserve">Summary</w:t>
      </w:r>
    </w:p>
    <w:p>
      <w:pPr>
        <w:spacing w:after="120" w:line="480"/>
        <w:jc w:val="left"/>
      </w:pPr>
      <w:r>
        <w:rPr>
          <w:rFonts w:ascii="Times New Roman" w:cs="Times New Roman" w:eastAsia="Times New Roman" w:hAnsi="Times New Roman"/>
        </w:rPr>
        <w:t xml:space="preserve">Generative AI tools are increasingly consulted for pediatric urology questions, yet the same scenario can receive different answers from different systems, and it is often unclear which source an answer relies on. We built a retrieval-augmented generation (RAG) evaluator restricted to a closed corpus of 12 sources on pediatric vesicoureteral reflux and urinary tract infection and tested it in two phases.</w:t>
      </w:r>
    </w:p>
    <w:p>
      <w:pPr>
        <w:spacing w:after="120" w:line="480"/>
        <w:jc w:val="left"/>
      </w:pPr>
      <w:r>
        <w:rPr>
          <w:rFonts w:ascii="Times New Roman" w:cs="Times New Roman" w:eastAsia="Times New Roman" w:hAnsi="Times New Roman"/>
        </w:rPr>
        <w:t xml:space="preserve">First, keeping the model, instructions and 50 test questions constant, we changed only the format of the sources. Manually curated structured text outperformed the original PDFs (94/100 vs 84/100; 88% vs 72% completely correct answers), and the advantage was reproduced by a blinded second rater. Some data present in the PDFs, particularly in tables, forest plots and scores, were simply not retrieved.</w:t>
      </w:r>
    </w:p>
    <w:p>
      <w:pPr>
        <w:spacing w:after="120" w:line="480"/>
        <w:jc w:val="left"/>
      </w:pPr>
      <w:r>
        <w:rPr>
          <w:rFonts w:ascii="Times New Roman" w:cs="Times New Roman" w:eastAsia="Times New Roman" w:hAnsi="Times New Roman"/>
        </w:rPr>
        <w:t xml:space="preserve">Second, we compared the curated evaluator with Open Evidence and with the majority answers of 30 experienced SIUP pediatric urologists on 11 controversial scenarios. Agreeing with experts, agreeing with another AI and being aligned with guidelines proved to be different things. The curated evaluator was most useful when it flagged incomplete options, recognised the absence of a single guideline answer, or separated surveillance with prophylaxis from treatment that corrects reflux.</w:t>
      </w:r>
    </w:p>
    <w:p>
      <w:pPr>
        <w:spacing w:after="120" w:line="480"/>
        <w:jc w:val="left"/>
      </w:pPr>
      <w:r>
        <w:rPr>
          <w:rFonts w:ascii="Times New Roman" w:cs="Times New Roman" w:eastAsia="Times New Roman" w:hAnsi="Times New Roman"/>
        </w:rPr>
        <w:t xml:space="preserve">Before asking which model to use, clinicians building or using AI tools should ask which documents the model reads and in what format.</w:t>
      </w:r>
    </w:p>
    <w:p>
      <w:pPr>
        <w:spacing w:after="120" w:before="240" w:line="276"/>
      </w:pPr>
      <w:r>
        <w:rPr>
          <w:rFonts w:ascii="Times New Roman" w:cs="Times New Roman" w:eastAsia="Times New Roman" w:hAnsi="Times New Roman"/>
          <w:b/>
          <w:bCs/>
          <w:sz w:val="22"/>
          <w:szCs w:val="22"/>
        </w:rPr>
        <w:t xml:space="preserve">Summary Table.</w:t>
      </w:r>
      <w:r>
        <w:rPr>
          <w:rFonts w:ascii="Times New Roman" w:cs="Times New Roman" w:eastAsia="Times New Roman" w:hAnsi="Times New Roman"/>
          <w:sz w:val="22"/>
          <w:szCs w:val="22"/>
        </w:rPr>
        <w:t xml:space="preserve"> Phase 1 key results (same model, prompt and 50 questions; only the source format differed).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2200"/>
        <w:gridCol w:w="1900"/>
      </w:tblGrid>
      <w:tr>
        <w:trPr>
          <w:tblHeader/>
        </w:trPr>
        <w:tc>
          <w:tcPr>
            <w:tcW w:type="dxa" w:w="3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Outcome</w:t>
            </w:r>
          </w:p>
        </w:tc>
        <w:tc>
          <w:tcPr>
            <w:tcW w:type="dxa" w:w="19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Raw-PDF sources</w:t>
            </w:r>
          </w:p>
        </w:tc>
        <w:tc>
          <w:tcPr>
            <w:tcW w:type="dxa" w:w="22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Curated structured text</w:t>
            </w:r>
          </w:p>
        </w:tc>
        <w:tc>
          <w:tcPr>
            <w:tcW w:type="dxa" w:w="19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p</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Total score (/100)</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84</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94</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Mean item score (0–2)</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1.68</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1.88</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0.019 (Wilcoxon)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Completely correct answers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36/50 (72%)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44/50 (88%)</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0.039 (McNemar)</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Major errors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2/50</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1/50</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Blinded re-scoring, total (/100)</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82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93</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r>
    </w:tbl>
    <w:p>
      <w:r>
        <w:br w:type="page"/>
      </w:r>
    </w:p>
    <w:p>
      <w:pPr>
        <w:pStyle w:val="Heading1"/>
        <w:spacing w:after="120" w:before="240" w:line="480"/>
      </w:pPr>
      <w:r>
        <w:rPr>
          <w:rFonts w:ascii="Times New Roman" w:cs="Times New Roman" w:eastAsia="Times New Roman" w:hAnsi="Times New Roman"/>
          <w:b/>
          <w:bCs/>
          <w:sz w:val="26"/>
          <w:szCs w:val="26"/>
        </w:rPr>
        <w:t xml:space="preserve">Introduction</w:t>
      </w:r>
    </w:p>
    <w:p>
      <w:pPr>
        <w:spacing w:after="120" w:line="480"/>
        <w:jc w:val="left"/>
      </w:pPr>
      <w:r>
        <w:rPr>
          <w:rFonts w:ascii="Times New Roman" w:cs="Times New Roman" w:eastAsia="Times New Roman" w:hAnsi="Times New Roman"/>
        </w:rPr>
        <w:t xml:space="preserve">Generative artificial intelligence (AI) systems are increasingly explored as tools for clinical information retrieval, evidence synthesis and patient-specific interpretation of medical literature. In high-stakes domains, retrieval-augmented generation (RAG) has been proposed to ground model output in an external evidence repository, but recent work emphasises that performance depends on the whole retrieval pipeline rather than on the language model alone [1–3].</w:t>
      </w:r>
    </w:p>
    <w:p>
      <w:pPr>
        <w:spacing w:after="120" w:line="480"/>
        <w:jc w:val="left"/>
      </w:pPr>
      <w:r>
        <w:rPr>
          <w:rFonts w:ascii="Times New Roman" w:cs="Times New Roman" w:eastAsia="Times New Roman" w:hAnsi="Times New Roman"/>
        </w:rPr>
        <w:t xml:space="preserve">RAG should therefore be understood as a pipeline: its reliability depends on the source corpus, the retriever, document representation, prompt design, evaluation framework and clinical task. A verified repository may reduce unsupported generation, but it does not guarantee accurate retrieval when clinically relevant information is embedded in tables, figures, algorithms, forest plots, risk scores or complex guideline matrices [3,4].</w:t>
      </w:r>
    </w:p>
    <w:p>
      <w:pPr>
        <w:spacing w:after="120" w:line="480"/>
        <w:jc w:val="left"/>
      </w:pPr>
      <w:r>
        <w:rPr>
          <w:rFonts w:ascii="Times New Roman" w:cs="Times New Roman" w:eastAsia="Times New Roman" w:hAnsi="Times New Roman"/>
        </w:rPr>
        <w:t xml:space="preserve">Pediatric urinary tract infection (UTI) and vesicoureteral reflux (VUR) provide a suitable model for this problem. Decisions depend on age, reflux grade, renal scarring, recurrent febrile UTI, bladder and bowel dysfunction, breakthrough infection, differential renal function and imaging findings, and the evidence base includes guidelines, trials, systematic reviews, meta-analyses and prediction models [5–16,18–21]. The clinical problem is not only whether information can be retrieved, but whether a recommendation is interpreted according to the most relevant guideline, the appropriate level of evidence and the exact intent of the question, particularly when the same scenario may be framed as conservative follow-up or as disease-correcting treatment.</w:t>
      </w:r>
    </w:p>
    <w:p>
      <w:pPr>
        <w:spacing w:after="120" w:line="480"/>
        <w:jc w:val="left"/>
      </w:pPr>
      <w:r>
        <w:rPr>
          <w:rFonts w:ascii="Times New Roman" w:cs="Times New Roman" w:eastAsia="Times New Roman" w:hAnsi="Times New Roman"/>
        </w:rPr>
        <w:t xml:space="preserve">This variability is not necessarily resolved by generic or biomedical AI systems. Different systems may answer the same scenario differently, and even a plausible answer may rest on a current guideline, an older recommendation, a narrative review or an indirectly applicable source. Forced multiple-choice formats may also convert uncertainty into apparently categorical answers.</w:t>
      </w:r>
    </w:p>
    <w:p>
      <w:pPr>
        <w:spacing w:after="120" w:line="480"/>
        <w:jc w:val="left"/>
      </w:pPr>
      <w:r>
        <w:rPr>
          <w:rFonts w:ascii="Times New Roman" w:cs="Times New Roman" w:eastAsia="Times New Roman" w:hAnsi="Times New Roman"/>
        </w:rPr>
        <w:t xml:space="preserve">We therefore designed a two-phase study. First, we evaluated whether structured curation of complex sources improves RAG retrieval and interpretation using a predefined documentary question bank. Second, we extended the evaluation to controversial clinical scenarios, comparing expert majority, a biomedical AI system (Open Evidence) and the curated RAG evaluator according to guideline alignment, source hierarchy, traceability and recognition of uncertainty. Expert majority was considered a comparator of real-world practice, not an absolute gold standard.</w:t>
      </w:r>
    </w:p>
    <w:p>
      <w:pPr>
        <w:pStyle w:val="Heading1"/>
        <w:spacing w:after="120" w:before="240" w:line="480"/>
      </w:pPr>
      <w:r>
        <w:rPr>
          <w:rFonts w:ascii="Times New Roman" w:cs="Times New Roman" w:eastAsia="Times New Roman" w:hAnsi="Times New Roman"/>
          <w:b/>
          <w:bCs/>
          <w:sz w:val="26"/>
          <w:szCs w:val="26"/>
        </w:rPr>
        <w:t xml:space="preserve">Materials and methods</w:t>
      </w:r>
    </w:p>
    <w:p>
      <w:pPr>
        <w:pStyle w:val="Heading2"/>
        <w:spacing w:after="100" w:before="200" w:line="480"/>
      </w:pPr>
      <w:r>
        <w:rPr>
          <w:rFonts w:ascii="Times New Roman" w:cs="Times New Roman" w:eastAsia="Times New Roman" w:hAnsi="Times New Roman"/>
          <w:b/>
          <w:bCs/>
          <w:i/>
          <w:iCs/>
          <w:sz w:val="24"/>
          <w:szCs w:val="24"/>
        </w:rPr>
        <w:t xml:space="preserve">Study design</w:t>
      </w:r>
    </w:p>
    <w:p>
      <w:pPr>
        <w:spacing w:after="120" w:line="480"/>
        <w:jc w:val="left"/>
      </w:pPr>
      <w:r>
        <w:rPr>
          <w:rFonts w:ascii="Times New Roman" w:cs="Times New Roman" w:eastAsia="Times New Roman" w:hAnsi="Times New Roman"/>
        </w:rPr>
        <w:t xml:space="preserve">We performed a two-phase methodological evaluation of a domain-specific RAG evaluator for pediatric UTI and VUR. Phase 1 was a paired experimental source-curation study. Phase 2 was an exploratory clinical-methodological adjudication of the 11 clinical questions common to a SIUP expert survey and the AI/RAG evaluation.</w:t>
      </w:r>
    </w:p>
    <w:p>
      <w:pPr>
        <w:pStyle w:val="Heading2"/>
        <w:spacing w:after="100" w:before="200" w:line="480"/>
      </w:pPr>
      <w:r>
        <w:rPr>
          <w:rFonts w:ascii="Times New Roman" w:cs="Times New Roman" w:eastAsia="Times New Roman" w:hAnsi="Times New Roman"/>
          <w:b/>
          <w:bCs/>
          <w:i/>
          <w:iCs/>
          <w:sz w:val="24"/>
          <w:szCs w:val="24"/>
        </w:rPr>
        <w:t xml:space="preserve">RAG configuration</w:t>
      </w:r>
    </w:p>
    <w:p>
      <w:pPr>
        <w:spacing w:after="120" w:line="480"/>
        <w:jc w:val="left"/>
      </w:pPr>
      <w:r>
        <w:rPr>
          <w:rFonts w:ascii="Times New Roman" w:cs="Times New Roman" w:eastAsia="Times New Roman" w:hAnsi="Times New Roman"/>
        </w:rPr>
        <w:t xml:space="preserve">Both assistants used GPT-4o (OpenAI) through the Assistants application programming interface with the File Search retrieval tool, temperature 0 and top-p 1. They shared an identical system prompt (Supplementary Appendix S1) instructing the model to answer exclusively from the loaded sources, to avoid external knowledge, to follow an explicit source hierarchy (guidelines, then randomised trials and meta-analyses, then validated prediction models, then narrative or secondary sources), not to invent or compute missing numerical data, to declare insufficient information using predefined phrases, to list the sources actually used and to state that the tool does not replace clinical judgment.</w:t>
      </w:r>
    </w:p>
    <w:p>
      <w:pPr>
        <w:pStyle w:val="Heading2"/>
        <w:spacing w:after="100" w:before="200" w:line="480"/>
      </w:pPr>
      <w:r>
        <w:rPr>
          <w:rFonts w:ascii="Times New Roman" w:cs="Times New Roman" w:eastAsia="Times New Roman" w:hAnsi="Times New Roman"/>
          <w:b/>
          <w:bCs/>
          <w:i/>
          <w:iCs/>
          <w:sz w:val="24"/>
          <w:szCs w:val="24"/>
        </w:rPr>
        <w:t xml:space="preserve">Phase 1: source-curation experiment</w:t>
      </w:r>
    </w:p>
    <w:p>
      <w:pPr>
        <w:spacing w:after="120" w:line="480"/>
        <w:jc w:val="left"/>
      </w:pPr>
      <w:r>
        <w:rPr>
          <w:rFonts w:ascii="Times New Roman" w:cs="Times New Roman" w:eastAsia="Times New Roman" w:hAnsi="Times New Roman"/>
        </w:rPr>
        <w:t xml:space="preserve">Phase 1 compared two RAG configurations using the same model, system prompt, retrieval tool and question bank. The only planned difference was source format: the control arm used the original documents in PDF format, and the experimental arm used structured-text versions of the same documents generated by manual curation.</w:t>
      </w:r>
    </w:p>
    <w:p>
      <w:pPr>
        <w:spacing w:after="120" w:line="480"/>
        <w:jc w:val="left"/>
      </w:pPr>
      <w:r>
        <w:rPr>
          <w:rFonts w:ascii="Times New Roman" w:cs="Times New Roman" w:eastAsia="Times New Roman" w:hAnsi="Times New Roman"/>
        </w:rPr>
        <w:t xml:space="preserve">Twelve sources on pediatric VUR and UTI (Table 1) were selected for clinical relevance and documentary complexity, including tables, forest plots, scoring rules, risk factors, odds ratios, relative risks, confidence intervals, AUC estimates, radiological definitions and prediction-model variables [5–9,11–16,21]. Curation was not limited to optical character recognition or text extraction. Clinically actionable information was reorganised into retrieval-optimised text: tables were converted into explicit line-by-line statements, numerical estimates were linked to their outcome and statistical measure, scores and algorithms were rewritten as stepwise text, operational definitions were preserved, and limitations relevant to interpretation were stated explicitly. Duplicated and non-relevant content was removed; the corpus decreased from approximately 7 MB of PDF files to 305 KB of structured text.</w:t>
      </w:r>
    </w:p>
    <w:p>
      <w:pPr>
        <w:spacing w:after="120" w:line="480"/>
        <w:jc w:val="left"/>
      </w:pPr>
      <w:r>
        <w:rPr>
          <w:rFonts w:ascii="Times New Roman" w:cs="Times New Roman" w:eastAsia="Times New Roman" w:hAnsi="Times New Roman"/>
        </w:rPr>
        <w:t xml:space="preserve">A predefined 50-item question bank tested retrieval and interpretation of source-dependent information expected to be difficult to recover from raw PDFs: numerical extraction, directed interpretation, definitions, algorithms, study design and score components (Supplementary Tables S1 and S2). Questions were not designed to test general medical knowledge but recovery of a predefined, source-dependent answer. Each answer was scored 0 (incorrect, invented or key datum missing), 1 (partially correct) or 2 (correct datum, outcome, measure and interpretation). Major errors were prespecified as invented numerical values, confusion between effect measures, confusion between clinically distinct outcomes (e.g. recurrent UTI and renal scarring, or radiological resolution and UTI reduction), attribution to the wrong source, or a conclusion opposite to the source.</w:t>
      </w:r>
    </w:p>
    <w:p>
      <w:pPr>
        <w:spacing w:after="120" w:line="480"/>
        <w:jc w:val="left"/>
      </w:pPr>
      <w:r>
        <w:rPr>
          <w:rFonts w:ascii="Times New Roman" w:cs="Times New Roman" w:eastAsia="Times New Roman" w:hAnsi="Times New Roman"/>
        </w:rPr>
        <w:t xml:space="preserve">All answers were scored by one investigator against the predefined expected answers and the original sources. A second co-investigator, blinded to arm assignment, independently re-scored all 100 answers with the same rubric; arm labels were revealed only after scoring. Agreement was assessed with exact agreement and quadratic-weighted Cohen's κ (prespecified threshold ≥0.61).</w:t>
      </w:r>
    </w:p>
    <w:p>
      <w:pPr>
        <w:spacing w:after="120" w:line="480"/>
        <w:jc w:val="left"/>
      </w:pPr>
      <w:r>
        <w:rPr>
          <w:rFonts w:ascii="Times New Roman" w:cs="Times New Roman" w:eastAsia="Times New Roman" w:hAnsi="Times New Roman"/>
        </w:rPr>
        <w:t xml:space="preserve">Comparisons were paired. Item scores were compared with the Wilcoxon signed-rank test (zero differences excluded, normal approximation), the proportion of completely correct answers with the exact McNemar test, and the direction of discordant items with the sign test. Major errors were analysed descriptively. Tests were two-sided with α=0.05. Analyses were performed in Python (SciPy and scikit-learn).</w:t>
      </w:r>
    </w:p>
    <w:p>
      <w:pPr>
        <w:pStyle w:val="Heading2"/>
        <w:spacing w:after="100" w:before="200" w:line="480"/>
      </w:pPr>
      <w:r>
        <w:rPr>
          <w:rFonts w:ascii="Times New Roman" w:cs="Times New Roman" w:eastAsia="Times New Roman" w:hAnsi="Times New Roman"/>
          <w:b/>
          <w:bCs/>
          <w:i/>
          <w:iCs/>
          <w:sz w:val="24"/>
          <w:szCs w:val="24"/>
        </w:rPr>
        <w:t xml:space="preserve">Phase 2: clinical-methodological evaluation</w:t>
      </w:r>
    </w:p>
    <w:p>
      <w:pPr>
        <w:spacing w:after="120" w:line="480"/>
        <w:jc w:val="left"/>
      </w:pPr>
      <w:r>
        <w:rPr>
          <w:rFonts w:ascii="Times New Roman" w:cs="Times New Roman" w:eastAsia="Times New Roman" w:hAnsi="Times New Roman"/>
        </w:rPr>
        <w:t xml:space="preserve">The clinical comparator dataset derived from a structured survey of 30 experienced pediatric urologists from the Ibero-American Society of Pediatric Urology (SIUP), all with more than 10 years of clinical practice. The analysis was restricted to the 11 questions common to the survey and the AI/RAG evaluation; no additional question was included, to avoid post hoc expansion of the dataset (Supplementary Table S4). The same questions were answered by Open Evidence, in open-answer and forced-choice formats when available, and by the curated-text RAG evaluator described above.</w:t>
      </w:r>
    </w:p>
    <w:p>
      <w:pPr>
        <w:spacing w:after="120" w:line="480"/>
        <w:jc w:val="left"/>
      </w:pPr>
      <w:r>
        <w:rPr>
          <w:rFonts w:ascii="Times New Roman" w:cs="Times New Roman" w:eastAsia="Times New Roman" w:hAnsi="Times New Roman"/>
        </w:rPr>
        <w:t xml:space="preserve">Responses were adjudicated with a predefined evidence hierarchy: current guidelines and formal radiological appropriateness criteria for clinical and imaging recommendations; randomised trials, systematic reviews and meta-analyses for benefits, harms and limitations; prediction models for prognostic support only; and narrative reviews for context. In addition to the evaluator corpus, adjudication drew on the Cochrane review of interventions for primary VUR, the ACR Appropriateness Criteria, a Lancet review and the VURx index [10,18–20]; these sources were not part of the evaluator corpus when the analysed responses were generated. Each response was classified as fully aligned, partially aligned, oversimplified, discordant, uncertainty-aware, or not adjudicable when the answer options did not map onto guideline recommendations (Supplementary Table S5).</w:t>
      </w:r>
    </w:p>
    <w:p>
      <w:pPr>
        <w:pStyle w:val="Heading2"/>
        <w:spacing w:after="100" w:before="200" w:line="480"/>
      </w:pPr>
      <w:r>
        <w:rPr>
          <w:rFonts w:ascii="Times New Roman" w:cs="Times New Roman" w:eastAsia="Times New Roman" w:hAnsi="Times New Roman"/>
          <w:b/>
          <w:bCs/>
          <w:i/>
          <w:iCs/>
          <w:sz w:val="24"/>
          <w:szCs w:val="24"/>
        </w:rPr>
        <w:t xml:space="preserve">Ethics</w:t>
      </w:r>
    </w:p>
    <w:p>
      <w:pPr>
        <w:spacing w:after="120" w:line="480"/>
        <w:jc w:val="left"/>
      </w:pPr>
      <w:r>
        <w:rPr>
          <w:rFonts w:ascii="Times New Roman" w:cs="Times New Roman" w:eastAsia="Times New Roman" w:hAnsi="Times New Roman"/>
        </w:rPr>
        <w:t xml:space="preserve">The study used only published literature and aggregated anonymous responses from a voluntary professional survey. No patient-level data were used. The institutional ethics committee [blinded for review] granted exemption from formal review.</w:t>
      </w:r>
    </w:p>
    <w:p>
      <w:pPr>
        <w:pStyle w:val="Heading1"/>
        <w:spacing w:after="120" w:before="240" w:line="480"/>
      </w:pPr>
      <w:r>
        <w:rPr>
          <w:rFonts w:ascii="Times New Roman" w:cs="Times New Roman" w:eastAsia="Times New Roman" w:hAnsi="Times New Roman"/>
          <w:b/>
          <w:bCs/>
          <w:sz w:val="26"/>
          <w:szCs w:val="26"/>
        </w:rPr>
        <w:t xml:space="preserve">Results</w:t>
      </w:r>
    </w:p>
    <w:p>
      <w:pPr>
        <w:pStyle w:val="Heading2"/>
        <w:spacing w:after="100" w:before="200" w:line="480"/>
      </w:pPr>
      <w:r>
        <w:rPr>
          <w:rFonts w:ascii="Times New Roman" w:cs="Times New Roman" w:eastAsia="Times New Roman" w:hAnsi="Times New Roman"/>
          <w:b/>
          <w:bCs/>
          <w:i/>
          <w:iCs/>
          <w:sz w:val="24"/>
          <w:szCs w:val="24"/>
        </w:rPr>
        <w:t xml:space="preserve">Phase 1: source-curation experiment</w:t>
      </w:r>
    </w:p>
    <w:p>
      <w:pPr>
        <w:spacing w:after="120" w:line="480"/>
        <w:jc w:val="left"/>
      </w:pPr>
      <w:r>
        <w:rPr>
          <w:rFonts w:ascii="Times New Roman" w:cs="Times New Roman" w:eastAsia="Times New Roman" w:hAnsi="Times New Roman"/>
        </w:rPr>
        <w:t xml:space="preserve">Across the 50 paired questions, the curated-text arm outperformed the raw-PDF arm (Table 2; Supplementary Table S2). The total score increased from 84/100 to 94/100 and the mean item score from 1.68 (SD 0.55) to 1.88 (SD 0.33) (Wilcoxon p=0.019). Completely correct answers increased from 36/50 (72%) to 44/50 (88%) (McNemar p=0.039). The curated arm scored higher in 10 items, equal in 38 and lower in 2 (sign test p=0.039). Major errors occurred in 2/50 raw-PDF and 1/50 curated-text answers. In two items, the raw-PDF arm failed to retrieve a datum that was present in the source document, whereas the curated arm retrieved it. The two largest gains (score 0 to 2) were numerical-extraction items from the EAU/ESPU guideline and a meta-analysis; both items favouring the raw-PDF arm were guideline algorithm questions.</w:t>
      </w:r>
    </w:p>
    <w:p>
      <w:pPr>
        <w:spacing w:after="120" w:line="480"/>
        <w:jc w:val="left"/>
      </w:pPr>
      <w:r>
        <w:rPr>
          <w:rFonts w:ascii="Times New Roman" w:cs="Times New Roman" w:eastAsia="Times New Roman" w:hAnsi="Times New Roman"/>
        </w:rPr>
        <w:t xml:space="preserve">Blinded re-scoring reproduced the result: 82/100 versus 93/100, with 34/50 (68%) versus 43/50 (86%) completely correct answers; the curated arm scored higher in 11 items and lower in 2 (sign test p=0.022). Exact agreement between raters was 92% (raw-PDF arm) and 94% (curated arm), with quadratic-weighted κ of 0.87 and 0.74, respectively. All four discordant items involved single-point differences in completeness; none involved a major error or an opposite clinical conclusion (Supplementary Table S3).</w:t>
      </w:r>
    </w:p>
    <w:p>
      <w:pPr>
        <w:pStyle w:val="Heading2"/>
        <w:spacing w:after="100" w:before="200" w:line="480"/>
      </w:pPr>
      <w:r>
        <w:rPr>
          <w:rFonts w:ascii="Times New Roman" w:cs="Times New Roman" w:eastAsia="Times New Roman" w:hAnsi="Times New Roman"/>
          <w:b/>
          <w:bCs/>
          <w:i/>
          <w:iCs/>
          <w:sz w:val="24"/>
          <w:szCs w:val="24"/>
        </w:rPr>
        <w:t xml:space="preserve">Phase 2: clinical-methodological findings</w:t>
      </w:r>
    </w:p>
    <w:p>
      <w:pPr>
        <w:spacing w:after="120" w:line="480"/>
        <w:jc w:val="left"/>
      </w:pPr>
      <w:r>
        <w:rPr>
          <w:rFonts w:ascii="Times New Roman" w:cs="Times New Roman" w:eastAsia="Times New Roman" w:hAnsi="Times New Roman"/>
        </w:rPr>
        <w:t xml:space="preserve">Expert-majority agreement, AI agreement and guideline-based alignment were related but not interchangeable (Table 3). In several items, expert practice was heterogeneous, and AI responses differed according to the system queried and the response format. Open Evidence often provided answers close to expert majority practice, but its explanations did not always make explicit whether they were based on a current guideline, an older recommendation, a narrow criterion or a conditional statement.</w:t>
      </w:r>
    </w:p>
    <w:p>
      <w:pPr>
        <w:spacing w:after="120" w:line="480"/>
        <w:jc w:val="left"/>
      </w:pPr>
      <w:r>
        <w:rPr>
          <w:rFonts w:ascii="Times New Roman" w:cs="Times New Roman" w:eastAsia="Times New Roman" w:hAnsi="Times New Roman"/>
        </w:rPr>
        <w:t xml:space="preserve">For cystography or contrast-enhanced voiding urosonography after a first febrile UTI (P1), Open Evidence selected the ultrasound-abnormality option, consistent with the criterion that voiding cystourethrography is indicated when ultrasound shows hydronephrosis, scarring or other abnormalities. This is a valid indication but does not capture the broader selective strategy in the corpus, which includes atypical UTI and other risk criteria [5,7,18,19]; the RAG evaluator classified the option as incomplete and justified this at option level.</w:t>
      </w:r>
    </w:p>
    <w:p>
      <w:pPr>
        <w:spacing w:after="120" w:line="480"/>
        <w:jc w:val="left"/>
      </w:pPr>
      <w:r>
        <w:rPr>
          <w:rFonts w:ascii="Times New Roman" w:cs="Times New Roman" w:eastAsia="Times New Roman" w:hAnsi="Times New Roman"/>
        </w:rPr>
        <w:t xml:space="preserve">For the timing of follow-up cystography under prophylaxis (P4–P5), current guidelines do not specify a single universal interval that maps onto the response options. Open Evidence selected one option with limited justification, whereas the RAG evaluator stated that it could be clinically reasonable but was not specified as a universal strategy [5,6,19]. These items are better interpreted as unsuitable for single-answer scoring than as model errors.</w:t>
      </w:r>
    </w:p>
    <w:p>
      <w:pPr>
        <w:spacing w:after="120" w:line="480"/>
        <w:jc w:val="left"/>
      </w:pPr>
      <w:r>
        <w:rPr>
          <w:rFonts w:ascii="Times New Roman" w:cs="Times New Roman" w:eastAsia="Times New Roman" w:hAnsi="Times New Roman"/>
        </w:rPr>
        <w:t xml:space="preserve">For persistent grade IV–V reflux (P8), the key distinction was between conservative surveillance and disease-correcting treatment. Continued prophylaxis may reduce febrile UTI during observation but does not correct reflux [5,6,10,15]; if the question asks for treatment of persistent high-grade VUR, surgical correction is the disease-modifying strategy. Similarly, for differential renal uptake below 10% (P9–P11), observation may be reasonable in selected asymptomatic patients, whereas nephrectomy may be the definitive option for a symptomatic, nearly non-functioning unit with breakthrough infections despite prophylaxis. Adjudication therefore recorded whether each response addressed conservative waiting, correction of reflux or definitive treatment, rather than collapsing these concepts into right or wrong.</w:t>
      </w:r>
    </w:p>
    <w:p>
      <w:pPr>
        <w:pStyle w:val="Heading1"/>
        <w:spacing w:after="120" w:before="240" w:line="480"/>
      </w:pPr>
      <w:r>
        <w:rPr>
          <w:rFonts w:ascii="Times New Roman" w:cs="Times New Roman" w:eastAsia="Times New Roman" w:hAnsi="Times New Roman"/>
          <w:b/>
          <w:bCs/>
          <w:sz w:val="26"/>
          <w:szCs w:val="26"/>
        </w:rPr>
        <w:t xml:space="preserve">Discussion</w:t>
      </w:r>
    </w:p>
    <w:p>
      <w:pPr>
        <w:spacing w:after="120" w:line="480"/>
        <w:jc w:val="left"/>
      </w:pPr>
      <w:r>
        <w:rPr>
          <w:rFonts w:ascii="Times New Roman" w:cs="Times New Roman" w:eastAsia="Times New Roman" w:hAnsi="Times New Roman"/>
        </w:rPr>
        <w:t xml:space="preserve">This study supports two complementary conclusions. First, structured source curation improved documentary RAG performance in pediatric VUR/UTI when model, prompt, retrieval tool and questions were held constant, and the improvement was reproduced by a blinded rater. Second, when the evaluator was applied to clinical questions, agreement with expert majority was insufficient to determine answer quality; guideline alignment, source hierarchy, applicability and recognition of uncertainty added clinically meaningful dimensions.</w:t>
      </w:r>
    </w:p>
    <w:p>
      <w:pPr>
        <w:pStyle w:val="Heading2"/>
        <w:spacing w:after="100" w:before="200" w:line="480"/>
      </w:pPr>
      <w:r>
        <w:rPr>
          <w:rFonts w:ascii="Times New Roman" w:cs="Times New Roman" w:eastAsia="Times New Roman" w:hAnsi="Times New Roman"/>
          <w:b/>
          <w:bCs/>
          <w:i/>
          <w:iCs/>
          <w:sz w:val="24"/>
          <w:szCs w:val="24"/>
        </w:rPr>
        <w:t xml:space="preserve">Why source curation matters</w:t>
      </w:r>
    </w:p>
    <w:p>
      <w:pPr>
        <w:spacing w:after="120" w:line="480"/>
        <w:jc w:val="left"/>
      </w:pPr>
      <w:r>
        <w:rPr>
          <w:rFonts w:ascii="Times New Roman" w:cs="Times New Roman" w:eastAsia="Times New Roman" w:hAnsi="Times New Roman"/>
        </w:rPr>
        <w:t xml:space="preserve">Many tested questions required exact numerical or operational information: pooled estimates, confidence intervals, score components, thresholds, AUC values or radiological definitions. These elements are often located in tables, forest plots, algorithms or dense results sections, where PDF extraction may fragment them or separate them from their clinical context. Structured curation links each value to its source, outcome and interpretation [4,17]. The observation that some raw-PDF failures were retrieval failures, not absent evidence, is practically important: uploading guidelines to an AI tool does not ensure that their content will be found. Conversely, both items favouring the raw-PDF arm were algorithm questions, suggesting that rewriting flowcharts as text can lose branch structure and that curation itself must be verified.</w:t>
      </w:r>
    </w:p>
    <w:p>
      <w:pPr>
        <w:pStyle w:val="Heading2"/>
        <w:spacing w:after="100" w:before="200" w:line="480"/>
      </w:pPr>
      <w:r>
        <w:rPr>
          <w:rFonts w:ascii="Times New Roman" w:cs="Times New Roman" w:eastAsia="Times New Roman" w:hAnsi="Times New Roman"/>
          <w:b/>
          <w:bCs/>
          <w:i/>
          <w:iCs/>
          <w:sz w:val="24"/>
          <w:szCs w:val="24"/>
        </w:rPr>
        <w:t xml:space="preserve">Beyond expert agreement</w:t>
      </w:r>
    </w:p>
    <w:p>
      <w:pPr>
        <w:spacing w:after="120" w:line="480"/>
        <w:jc w:val="left"/>
      </w:pPr>
      <w:r>
        <w:rPr>
          <w:rFonts w:ascii="Times New Roman" w:cs="Times New Roman" w:eastAsia="Times New Roman" w:hAnsi="Times New Roman"/>
        </w:rPr>
        <w:t xml:space="preserve">Expert agreement captures real-world practice but does not necessarily represent the most current or hierarchically strongest evidence. Disagreement with expert majority may reflect a model error, but also adherence to a more current guideline, appropriate recognition of uncertainty or refusal to force a categorical answer when recommendations are conditional. In such settings, a model that states uncertainty may appear less accurate under forced-choice scoring while being more transparent and clinically safer.</w:t>
      </w:r>
    </w:p>
    <w:p>
      <w:pPr>
        <w:pStyle w:val="Heading2"/>
        <w:spacing w:after="100" w:before="200" w:line="480"/>
      </w:pPr>
      <w:r>
        <w:rPr>
          <w:rFonts w:ascii="Times New Roman" w:cs="Times New Roman" w:eastAsia="Times New Roman" w:hAnsi="Times New Roman"/>
          <w:b/>
          <w:bCs/>
          <w:i/>
          <w:iCs/>
          <w:sz w:val="24"/>
          <w:szCs w:val="24"/>
        </w:rPr>
        <w:t xml:space="preserve">Clinical relevance</w:t>
      </w:r>
    </w:p>
    <w:p>
      <w:pPr>
        <w:spacing w:after="120" w:line="480"/>
        <w:jc w:val="left"/>
      </w:pPr>
      <w:r>
        <w:rPr>
          <w:rFonts w:ascii="Times New Roman" w:cs="Times New Roman" w:eastAsia="Times New Roman" w:hAnsi="Times New Roman"/>
        </w:rPr>
        <w:t xml:space="preserve">The contribution of this study is not a new technique, antibiotic regimen or imaging protocol. It addresses a practical problem: pediatric urologists often face scenarios in which expert practice, AI answers and guideline recommendations do not coincide, such as whether to perform cystography after a febrile UTI, when to repeat imaging under prophylaxis, whether persistent high-grade VUR should be corrected, and how to manage a nearly non-functioning renal unit. Terms such as "management", "surveillance" and "treatment" can lead to different correct answers. A curated evaluator that makes its sources and uncertainty explicit can help distinguish guideline-supported recommendations from practice patterns, and can serve as a support for teaching, protocol development and case discussion under specialist supervision.</w:t>
      </w:r>
    </w:p>
    <w:p>
      <w:pPr>
        <w:pStyle w:val="Heading2"/>
        <w:spacing w:after="100" w:before="200" w:line="480"/>
      </w:pPr>
      <w:r>
        <w:rPr>
          <w:rFonts w:ascii="Times New Roman" w:cs="Times New Roman" w:eastAsia="Times New Roman" w:hAnsi="Times New Roman"/>
          <w:b/>
          <w:bCs/>
          <w:i/>
          <w:iCs/>
          <w:sz w:val="24"/>
          <w:szCs w:val="24"/>
        </w:rPr>
        <w:t xml:space="preserve">Implications for medical AI evaluation</w:t>
      </w:r>
    </w:p>
    <w:p>
      <w:pPr>
        <w:spacing w:after="120" w:line="480"/>
        <w:jc w:val="left"/>
      </w:pPr>
      <w:r>
        <w:rPr>
          <w:rFonts w:ascii="Times New Roman" w:cs="Times New Roman" w:eastAsia="Times New Roman" w:hAnsi="Times New Roman"/>
        </w:rPr>
        <w:t xml:space="preserve">Medical AI in guideline-dependent domains should not be evaluated by forced-choice accuracy alone. Evaluation frameworks should include source appropriateness and recency, applicability to the scenario, preservation of caveats and the ability to identify poorly framed questions. Reports should specify the model, retrieval configuration, corpus, prompt, sampling parameters and evaluation date, because results apply to the tested configuration only.</w:t>
      </w:r>
    </w:p>
    <w:p>
      <w:pPr>
        <w:pStyle w:val="Heading2"/>
        <w:spacing w:after="100" w:before="200" w:line="480"/>
      </w:pPr>
      <w:r>
        <w:rPr>
          <w:rFonts w:ascii="Times New Roman" w:cs="Times New Roman" w:eastAsia="Times New Roman" w:hAnsi="Times New Roman"/>
          <w:b/>
          <w:bCs/>
          <w:i/>
          <w:iCs/>
          <w:sz w:val="24"/>
          <w:szCs w:val="24"/>
        </w:rPr>
        <w:t xml:space="preserve">Limitations</w:t>
      </w:r>
    </w:p>
    <w:p>
      <w:pPr>
        <w:spacing w:after="120" w:line="480"/>
        <w:jc w:val="left"/>
      </w:pPr>
      <w:r>
        <w:rPr>
          <w:rFonts w:ascii="Times New Roman" w:cs="Times New Roman" w:eastAsia="Times New Roman" w:hAnsi="Times New Roman"/>
        </w:rPr>
        <w:t xml:space="preserve">Phase 1 used a question bank rather than real encounters, and the questions were developed by investigators familiar with the corpus. Both raters were co-investigators involved in developing the system; blinding to arm assignment reduces but does not remove this bias, and independent external evaluation is needed. Curation was manual and time-consuming, and its reproducibility by other teams was not assessed. Phase 2 was exploratory, involved only 11 questions and a qualitative adjudication performed by the authors, and expert majority was not a gold standard. Only one model and configuration were tested; outputs of the evaluator and of Open Evidence may vary by model version, date and prompt, so prospective repeated testing is required. No patient outcomes were assessed.</w:t>
      </w:r>
    </w:p>
    <w:p>
      <w:pPr>
        <w:pStyle w:val="Heading1"/>
        <w:spacing w:after="120" w:before="240" w:line="480"/>
      </w:pPr>
      <w:r>
        <w:rPr>
          <w:rFonts w:ascii="Times New Roman" w:cs="Times New Roman" w:eastAsia="Times New Roman" w:hAnsi="Times New Roman"/>
          <w:b/>
          <w:bCs/>
          <w:sz w:val="26"/>
          <w:szCs w:val="26"/>
        </w:rPr>
        <w:t xml:space="preserve">Conclusions</w:t>
      </w:r>
    </w:p>
    <w:p>
      <w:pPr>
        <w:spacing w:after="120" w:line="480"/>
        <w:jc w:val="left"/>
      </w:pPr>
      <w:r>
        <w:rPr>
          <w:rFonts w:ascii="Times New Roman" w:cs="Times New Roman" w:eastAsia="Times New Roman" w:hAnsi="Times New Roman"/>
        </w:rPr>
        <w:t xml:space="preserve">Structured curation of complex medical sources improved retrieval and interpretation accuracy in a pediatric VUR/UTI RAG system. Clinical evaluation showed that expert agreement, AI agreement and guideline alignment are not equivalent outcomes. A curated RAG evaluator may provide value as a clinical-documentary auditor by making source hierarchy, traceability and uncertainty explicit, particularly where guidelines are conditional, expert practice is variable or forced-choice formats obscure the difference between surveillance and definitive treatment. It is proposed as a support for, not a replacement of, the judgment of the pediatric urologist.</w:t>
      </w:r>
    </w:p>
    <w:p>
      <w:pPr>
        <w:pStyle w:val="Heading1"/>
        <w:spacing w:after="120" w:before="240" w:line="480"/>
      </w:pPr>
      <w:r>
        <w:rPr>
          <w:rFonts w:ascii="Times New Roman" w:cs="Times New Roman" w:eastAsia="Times New Roman" w:hAnsi="Times New Roman"/>
          <w:b/>
          <w:bCs/>
          <w:sz w:val="26"/>
          <w:szCs w:val="26"/>
        </w:rPr>
        <w:t xml:space="preserve">Declaration of generative AI and AI-assisted technologies in the manuscript preparation process</w:t>
      </w:r>
    </w:p>
    <w:p>
      <w:pPr>
        <w:spacing w:after="120" w:line="480"/>
        <w:jc w:val="left"/>
      </w:pPr>
      <w:r>
        <w:rPr>
          <w:rFonts w:ascii="Times New Roman" w:cs="Times New Roman" w:eastAsia="Times New Roman" w:hAnsi="Times New Roman"/>
        </w:rPr>
        <w:t xml:space="preserve">During the preparation of this work the authors used ChatGPT (OpenAI) and Claude (Anthropic) to support drafting, language editing, methodological structuring and formatting. After using these tools, the authors reviewed and edited the content as needed, verified the statistical analyses, clinical interpretation and references, and take full responsibility for the content of the published article.</w:t>
      </w:r>
    </w:p>
    <w:p>
      <w:pPr>
        <w:pStyle w:val="Heading1"/>
        <w:spacing w:after="120" w:before="240" w:line="480"/>
      </w:pPr>
      <w:r>
        <w:rPr>
          <w:rFonts w:ascii="Times New Roman" w:cs="Times New Roman" w:eastAsia="Times New Roman" w:hAnsi="Times New Roman"/>
          <w:b/>
          <w:bCs/>
          <w:sz w:val="26"/>
          <w:szCs w:val="26"/>
        </w:rPr>
        <w:t xml:space="preserve">Funding</w:t>
      </w:r>
    </w:p>
    <w:p>
      <w:pPr>
        <w:spacing w:after="120" w:line="480"/>
        <w:jc w:val="left"/>
      </w:pPr>
      <w:r>
        <w:rPr>
          <w:rFonts w:ascii="Times New Roman" w:cs="Times New Roman" w:eastAsia="Times New Roman" w:hAnsi="Times New Roman"/>
        </w:rPr>
        <w:t xml:space="preserve">This research did not receive any specific grant from funding agencies in the public, commercial or not-for-profit sectors.</w:t>
      </w:r>
    </w:p>
    <w:p>
      <w:pPr>
        <w:pStyle w:val="Heading1"/>
        <w:spacing w:after="120" w:before="240" w:line="480"/>
      </w:pPr>
      <w:r>
        <w:rPr>
          <w:rFonts w:ascii="Times New Roman" w:cs="Times New Roman" w:eastAsia="Times New Roman" w:hAnsi="Times New Roman"/>
          <w:b/>
          <w:bCs/>
          <w:sz w:val="26"/>
          <w:szCs w:val="26"/>
        </w:rPr>
        <w:t xml:space="preserve">Conflict of interest</w:t>
      </w:r>
    </w:p>
    <w:p>
      <w:pPr>
        <w:spacing w:after="120" w:line="480"/>
        <w:jc w:val="left"/>
      </w:pPr>
      <w:r>
        <w:rPr>
          <w:rFonts w:ascii="Times New Roman" w:cs="Times New Roman" w:eastAsia="Times New Roman" w:hAnsi="Times New Roman"/>
        </w:rPr>
        <w:t xml:space="preserve">The RAG evaluator was developed by two of the authors, who also scored the phase 1 answers. This self-evaluation constitutes a potential source of bias, and independent external validation is recommended. The authors declare no financial conflicts of interest.</w:t>
      </w:r>
    </w:p>
    <w:p>
      <w:pPr>
        <w:pStyle w:val="Heading1"/>
        <w:spacing w:after="120" w:before="240" w:line="480"/>
      </w:pPr>
      <w:r>
        <w:rPr>
          <w:rFonts w:ascii="Times New Roman" w:cs="Times New Roman" w:eastAsia="Times New Roman" w:hAnsi="Times New Roman"/>
          <w:b/>
          <w:bCs/>
          <w:sz w:val="26"/>
          <w:szCs w:val="26"/>
        </w:rPr>
        <w:t xml:space="preserve">Data availability</w:t>
      </w:r>
    </w:p>
    <w:p>
      <w:pPr>
        <w:spacing w:after="120" w:line="480"/>
        <w:jc w:val="left"/>
      </w:pPr>
      <w:r>
        <w:rPr>
          <w:rFonts w:ascii="Times New Roman" w:cs="Times New Roman" w:eastAsia="Times New Roman" w:hAnsi="Times New Roman"/>
        </w:rPr>
        <w:t xml:space="preserve">The system prompt, scoring rubric, item-level scores, inter-rater dataset, phase 2 comparator dataset and adjudication matrix are provided as supplementary material. The copyrighted source articles and guidelines cannot be redistributed, but full references are provided.</w:t>
      </w:r>
    </w:p>
    <w:p>
      <w:r>
        <w:br w:type="page"/>
      </w:r>
    </w:p>
    <w:p>
      <w:pPr>
        <w:pStyle w:val="Heading1"/>
        <w:spacing w:after="120" w:before="240" w:line="480"/>
      </w:pPr>
      <w:r>
        <w:rPr>
          <w:rFonts w:ascii="Times New Roman" w:cs="Times New Roman" w:eastAsia="Times New Roman" w:hAnsi="Times New Roman"/>
          <w:b/>
          <w:bCs/>
          <w:sz w:val="26"/>
          <w:szCs w:val="26"/>
        </w:rPr>
        <w:t xml:space="preserve">References</w:t>
      </w:r>
    </w:p>
    <w:p>
      <w:pPr>
        <w:spacing w:after="80" w:line="360"/>
        <w:jc w:val="left"/>
      </w:pPr>
      <w:r>
        <w:rPr>
          <w:rFonts w:ascii="Times New Roman" w:cs="Times New Roman" w:eastAsia="Times New Roman" w:hAnsi="Times New Roman"/>
        </w:rPr>
        <w:t xml:space="preserve">[1] Neha F, Bhati D, Shukla DK. Retrieval-augmented generation (RAG) in healthcare: a comprehensive review. AI 2025;6:226. https://doi.org/10.3390/ai6090226.</w:t>
      </w:r>
    </w:p>
    <w:p>
      <w:pPr>
        <w:spacing w:after="80" w:line="360"/>
        <w:jc w:val="left"/>
      </w:pPr>
      <w:r>
        <w:rPr>
          <w:rFonts w:ascii="Times New Roman" w:cs="Times New Roman" w:eastAsia="Times New Roman" w:hAnsi="Times New Roman"/>
        </w:rPr>
        <w:t xml:space="preserve">[2] Ceresa M, Bertolini L, Comte V, Spadaro N, Raffael B, Toussaint B, et al. Retrieval augmented generation evaluation for health documents. arXiv 2025. https://doi.org/10.48550/arXiv.2505.04680.</w:t>
      </w:r>
    </w:p>
    <w:p>
      <w:pPr>
        <w:spacing w:after="80" w:line="360"/>
        <w:jc w:val="left"/>
      </w:pPr>
      <w:r>
        <w:rPr>
          <w:rFonts w:ascii="Times New Roman" w:cs="Times New Roman" w:eastAsia="Times New Roman" w:hAnsi="Times New Roman"/>
        </w:rPr>
        <w:t xml:space="preserve">[3] Xiong G, Jin Q, Lu Z, Zhang A. Benchmarking retrieval-augmented generation for medicine. In: Findings of the Association for Computational Linguistics: ACL 2024. 2024:6233–51. https://doi.org/10.18653/v1/2024.findings-acl.372.</w:t>
      </w:r>
    </w:p>
    <w:p>
      <w:pPr>
        <w:spacing w:after="80" w:line="360"/>
        <w:jc w:val="left"/>
      </w:pPr>
      <w:r>
        <w:rPr>
          <w:rFonts w:ascii="Times New Roman" w:cs="Times New Roman" w:eastAsia="Times New Roman" w:hAnsi="Times New Roman"/>
        </w:rPr>
        <w:t xml:space="preserve">[4] Khan AA, Hasan MT, Kemell KK, Rasku J, Abrahamsson P. Developing retrieval augmented generation (RAG) based LLM systems from PDFs: an experience report. arXiv 2024. https://doi.org/10.48550/arXiv.2410.15944.</w:t>
      </w:r>
    </w:p>
    <w:p>
      <w:pPr>
        <w:spacing w:after="80" w:line="360"/>
        <w:jc w:val="left"/>
      </w:pPr>
      <w:r>
        <w:rPr>
          <w:rFonts w:ascii="Times New Roman" w:cs="Times New Roman" w:eastAsia="Times New Roman" w:hAnsi="Times New Roman"/>
        </w:rPr>
        <w:t xml:space="preserve">[5] EAU Guidelines on Paediatric Urology. Edn. presented at the EAU Annual Congress London 2026. Arnhem: EAU Guidelines Office; 2026. ISBN 978-94-92671-32-5.</w:t>
      </w:r>
    </w:p>
    <w:p>
      <w:pPr>
        <w:spacing w:after="80" w:line="360"/>
        <w:jc w:val="left"/>
      </w:pPr>
      <w:r>
        <w:rPr>
          <w:rFonts w:ascii="Times New Roman" w:cs="Times New Roman" w:eastAsia="Times New Roman" w:hAnsi="Times New Roman"/>
        </w:rPr>
        <w:t xml:space="preserve">[6] Peters CA, Skoog SJ, Arant BS, Copp HL, Elder JS, Hudson RG, et al. Summary of the AUA guideline on management of primary vesicoureteral reflux in children. J Urol 2010;184:1134–44. https://doi.org/10.1016/j.juro.2010.05.065.</w:t>
      </w:r>
    </w:p>
    <w:p>
      <w:pPr>
        <w:spacing w:after="80" w:line="360"/>
        <w:jc w:val="left"/>
      </w:pPr>
      <w:r>
        <w:rPr>
          <w:rFonts w:ascii="Times New Roman" w:cs="Times New Roman" w:eastAsia="Times New Roman" w:hAnsi="Times New Roman"/>
        </w:rPr>
        <w:t xml:space="preserve">[7] González Rodríguez JD, Fraga Rodríguez GM, García Vera CJ, Gómez Fraile A, Martín Sánchez JI, Mengual Gil JM, et al. Update of the Spanish clinical practice guideline for urinary tract infection in infants and children. Summary of recommendations for diagnosis, treatment and follow-up. An Pediatr (Engl Ed) 2024;101:132–44. https://doi.org/10.1016/j.anpede.2024.07.010.</w:t>
      </w:r>
    </w:p>
    <w:p>
      <w:pPr>
        <w:spacing w:after="80" w:line="360"/>
        <w:jc w:val="left"/>
      </w:pPr>
      <w:r>
        <w:rPr>
          <w:rFonts w:ascii="Times New Roman" w:cs="Times New Roman" w:eastAsia="Times New Roman" w:hAnsi="Times New Roman"/>
        </w:rPr>
        <w:t xml:space="preserve">[8] RIVUR Trial Investigators; Hoberman A, Greenfield SP, Mattoo TK, Keren R, Mathews R, Pohl HG, et al. Antimicrobial prophylaxis for children with vesicoureteral reflux. N Engl J Med 2014;370:2367–76. https://doi.org/10.1056/NEJMoa1401811.</w:t>
      </w:r>
    </w:p>
    <w:p>
      <w:pPr>
        <w:spacing w:after="80" w:line="360"/>
        <w:jc w:val="left"/>
      </w:pPr>
      <w:r>
        <w:rPr>
          <w:rFonts w:ascii="Times New Roman" w:cs="Times New Roman" w:eastAsia="Times New Roman" w:hAnsi="Times New Roman"/>
        </w:rPr>
        <w:t xml:space="preserve">[9] Morello W, Baskin E, Jankauskiene A, Yalcinkaya F, Zurowska A, Puccio G, et al. Antibiotic prophylaxis in infants with grade III, IV, or V vesicoureteral reflux. N Engl J Med 2023;389:987–97. https://doi.org/10.1056/NEJMoa2300161.</w:t>
      </w:r>
    </w:p>
    <w:p>
      <w:pPr>
        <w:spacing w:after="80" w:line="360"/>
        <w:jc w:val="left"/>
      </w:pPr>
      <w:r>
        <w:rPr>
          <w:rFonts w:ascii="Times New Roman" w:cs="Times New Roman" w:eastAsia="Times New Roman" w:hAnsi="Times New Roman"/>
        </w:rPr>
        <w:t xml:space="preserve">[10] Williams G, Hodson EM, Craig JC. Interventions for primary vesicoureteric reflux. Cochrane Database Syst Rev 2019;2:CD001532. https://doi.org/10.1002/14651858.CD001532.pub5.</w:t>
      </w:r>
    </w:p>
    <w:p>
      <w:pPr>
        <w:spacing w:after="80" w:line="360"/>
        <w:jc w:val="left"/>
      </w:pPr>
      <w:r>
        <w:rPr>
          <w:rFonts w:ascii="Times New Roman" w:cs="Times New Roman" w:eastAsia="Times New Roman" w:hAnsi="Times New Roman"/>
        </w:rPr>
        <w:t xml:space="preserve">[11] Meena J, Mathew G, Hari P, Sinha A, Bagga A. Prevalence of bladder and bowel dysfunction in toilet-trained children with urinary tract infection and/or primary vesicoureteral reflux: a systematic review and meta-analysis. Front Pediatr 2020;8:84. https://doi.org/10.3389/fped.2020.00084.</w:t>
      </w:r>
    </w:p>
    <w:p>
      <w:pPr>
        <w:spacing w:after="80" w:line="360"/>
        <w:jc w:val="left"/>
      </w:pPr>
      <w:r>
        <w:rPr>
          <w:rFonts w:ascii="Times New Roman" w:cs="Times New Roman" w:eastAsia="Times New Roman" w:hAnsi="Times New Roman"/>
        </w:rPr>
        <w:t xml:space="preserve">[12] Arlen AM, Kirsch AJ, Leong T, Cooper CS. Validation of the ureteral diameter ratio for predicting early spontaneous resolution of primary vesicoureteral reflux. J Pediatr Urol 2017;13:383.e1–383.e6. https://doi.org/10.1016/j.jpurol.2017.01.012.</w:t>
      </w:r>
    </w:p>
    <w:p>
      <w:pPr>
        <w:spacing w:after="80" w:line="360"/>
        <w:jc w:val="left"/>
      </w:pPr>
      <w:r>
        <w:rPr>
          <w:rFonts w:ascii="Times New Roman" w:cs="Times New Roman" w:eastAsia="Times New Roman" w:hAnsi="Times New Roman"/>
        </w:rPr>
        <w:t xml:space="preserve">[13] Law ZW, Ong CCP, Yap TL, Loh AHP, Joseph U, Sim SW, et al. Extravesical vs. intravesical ureteric reimplantation for primary vesicoureteral reflux: a systematic review and meta-analysis. Front Pediatr 2022;10:935082. https://doi.org/10.3389/fped.2022.935082.</w:t>
      </w:r>
    </w:p>
    <w:p>
      <w:pPr>
        <w:spacing w:after="80" w:line="360"/>
        <w:jc w:val="left"/>
      </w:pPr>
      <w:r>
        <w:rPr>
          <w:rFonts w:ascii="Times New Roman" w:cs="Times New Roman" w:eastAsia="Times New Roman" w:hAnsi="Times New Roman"/>
        </w:rPr>
        <w:t xml:space="preserve">[14] Khondker A, Kim JK, Arlen AM, Rickard M, Chua ME, Kirsch AJ, et al. Early spontaneous resolution of vesicoureteral reflux from voiding cystourethrogram: a comparison of contemporary prediction models. J Pediatr Urol 2025;21:999–1004. https://doi.org/10.1016/j.jpurol.2025.04.030.</w:t>
      </w:r>
    </w:p>
    <w:p>
      <w:pPr>
        <w:spacing w:after="80" w:line="360"/>
        <w:jc w:val="left"/>
      </w:pPr>
      <w:r>
        <w:rPr>
          <w:rFonts w:ascii="Times New Roman" w:cs="Times New Roman" w:eastAsia="Times New Roman" w:hAnsi="Times New Roman"/>
        </w:rPr>
        <w:t xml:space="preserve">[15] Mina-Riascos SH, Fernández N, García-Perdomo HA. Effectiveness and risks of endoscopic management compared to vesicoureteral reimplantation in patients with high-grade vesicoureteral reflux: systematic review and network meta-analysis. Eur J Pediatr 2021;180:1383–91. https://doi.org/10.1007/s00431-021-03948-w.</w:t>
      </w:r>
    </w:p>
    <w:p>
      <w:pPr>
        <w:spacing w:after="80" w:line="360"/>
        <w:jc w:val="left"/>
      </w:pPr>
      <w:r>
        <w:rPr>
          <w:rFonts w:ascii="Times New Roman" w:cs="Times New Roman" w:eastAsia="Times New Roman" w:hAnsi="Times New Roman"/>
        </w:rPr>
        <w:t xml:space="preserve">[16] Jhaveri H, Stewart A, Aitelli A, Kaplan S, Routh JC. Efficacy of antibiotic prophylaxis in children with vesicoureteral reflux: systematic review and meta-analysis of randomized clinical trials. J Pediatr Urol 2026;22:105829. https://doi.org/10.1016/j.jpurol.2026.105829.</w:t>
      </w:r>
    </w:p>
    <w:p>
      <w:pPr>
        <w:spacing w:after="80" w:line="360"/>
        <w:jc w:val="left"/>
      </w:pPr>
      <w:r>
        <w:rPr>
          <w:rFonts w:ascii="Times New Roman" w:cs="Times New Roman" w:eastAsia="Times New Roman" w:hAnsi="Times New Roman"/>
        </w:rPr>
        <w:t xml:space="preserve">[17] Zhang C, Chen Q, Zhang M. Mixture-of-RAG: integrating text and tables with large language models. arXiv 2025. https://doi.org/10.48550/arXiv.2504.09554.</w:t>
      </w:r>
    </w:p>
    <w:p>
      <w:pPr>
        <w:spacing w:after="80" w:line="360"/>
        <w:jc w:val="left"/>
      </w:pPr>
      <w:r>
        <w:rPr>
          <w:rFonts w:ascii="Times New Roman" w:cs="Times New Roman" w:eastAsia="Times New Roman" w:hAnsi="Times New Roman"/>
        </w:rPr>
        <w:t xml:space="preserve">[18] Tullus K, Shaikh N. Urinary tract infections in children. Lancet 2020;395:1659–68. https://doi.org/10.1016/S0140-6736(20)30676-0.</w:t>
      </w:r>
    </w:p>
    <w:p>
      <w:pPr>
        <w:spacing w:after="80" w:line="360"/>
        <w:jc w:val="left"/>
      </w:pPr>
      <w:r>
        <w:rPr>
          <w:rFonts w:ascii="Times New Roman" w:cs="Times New Roman" w:eastAsia="Times New Roman" w:hAnsi="Times New Roman"/>
        </w:rPr>
        <w:t xml:space="preserve">[19] Chandra T, Bajaj M, Iyer RS, Chan SS, Bardo DME, Chen J, et al. ACR Appropriateness Criteria® Urinary Tract Infection-Child: 2023 update. J Am Coll Radiol 2024;21:S326–42. https://doi.org/10.1016/j.jacr.2024.02.025.</w:t>
      </w:r>
    </w:p>
    <w:p>
      <w:pPr>
        <w:spacing w:after="80" w:line="360"/>
        <w:jc w:val="left"/>
      </w:pPr>
      <w:r>
        <w:rPr>
          <w:rFonts w:ascii="Times New Roman" w:cs="Times New Roman" w:eastAsia="Times New Roman" w:hAnsi="Times New Roman"/>
        </w:rPr>
        <w:t xml:space="preserve">[20] Kirsch AJ, Arlen AM, Leong T, Merriman LS, Herrel LA, Scherz HC, et al. Vesicoureteral reflux index (VURx): a novel tool to predict primary reflux improvement and resolution in children less than 2 years of age. J Pediatr Urol 2014;10:1249–54. https://doi.org/10.1016/j.jpurol.2014.06.019.</w:t>
      </w:r>
    </w:p>
    <w:p>
      <w:pPr>
        <w:spacing w:after="80" w:line="360"/>
        <w:jc w:val="left"/>
      </w:pPr>
      <w:r>
        <w:rPr>
          <w:rFonts w:ascii="Times New Roman" w:cs="Times New Roman" w:eastAsia="Times New Roman" w:hAnsi="Times New Roman"/>
        </w:rPr>
        <w:t xml:space="preserve">[21] Fang H, Yu X, Yu Y, Liu Z, Liu X, Hua Y, et al. A novel clinical score to predict breakthrough urinary tract infection in children with VUR: meta-analytic derivation and real-world validation. Pediatr Nephrol 2026;41:1097–110. https://doi.org/10.1007/s00467-025-07067-8.</w:t>
      </w:r>
    </w:p>
    <w:p>
      <w:r>
        <w:br w:type="page"/>
      </w:r>
    </w:p>
    <w:p>
      <w:pPr>
        <w:spacing w:after="120" w:before="240" w:line="276"/>
      </w:pPr>
      <w:r>
        <w:rPr>
          <w:rFonts w:ascii="Times New Roman" w:cs="Times New Roman" w:eastAsia="Times New Roman" w:hAnsi="Times New Roman"/>
          <w:b/>
          <w:bCs/>
          <w:sz w:val="22"/>
          <w:szCs w:val="22"/>
        </w:rPr>
        <w:t xml:space="preserve">Table 1.</w:t>
      </w:r>
      <w:r>
        <w:rPr>
          <w:rFonts w:ascii="Times New Roman" w:cs="Times New Roman" w:eastAsia="Times New Roman" w:hAnsi="Times New Roman"/>
          <w:sz w:val="22"/>
          <w:szCs w:val="22"/>
        </w:rPr>
        <w:t xml:space="preserve"> Sources included in the phase 1 corpus (identical in both arms; format differed).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100"/>
      </w:tblGrid>
      <w:tr>
        <w:trPr>
          <w:tblHeader/>
        </w:trPr>
        <w:tc>
          <w:tcPr>
            <w:tcW w:type="dxa" w:w="3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Source</w:t>
            </w:r>
          </w:p>
        </w:tc>
        <w:tc>
          <w:tcPr>
            <w:tcW w:type="dxa" w:w="19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Type</w:t>
            </w:r>
          </w:p>
        </w:tc>
        <w:tc>
          <w:tcPr>
            <w:tcW w:type="dxa" w:w="41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Complex content targeted by the question bank</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EAU/ESPU Paediatric Urology guideline [5]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Clinical guideline</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Recommendations, strength ratings, diagnostic and follow-up algorithms, definitions</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AUA VUR guideline [6]</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Clinical guideline</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Management recommendations and numerical summaries</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Spanish pediatric UTI guideline [7]</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National guideline</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Definitions, imaging and follow-up criteria</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RIVUR trial [8]</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Randomised trial</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Recurrence and scarring outcomes, effect estimates</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PREDICT trial [9]</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Randomised trial</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Design, outcomes, effect estimates in infants with grade III–V VUR</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Meena et al. [11]</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Meta-analysis</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Prevalence of bladder and bowel dysfunction</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Arlen et al. [12]</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Prediction study</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Ureteral diameter ratio thresholds and performance</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Law et al. [13]</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Meta-analysis</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Extravesical vs intravesical reimplantation outcomes</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Khondker et al. [14]</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Prediction-model comparison</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Model variables, AUC values, resolution definitions</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Mina-Riascos et al. [15]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Network meta-analysis</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Endoscopic vs reimplantation effectiveness and risks</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Jhaveri et al. [16]</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Meta-analysis of RCTs</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Prophylaxis effect estimates, forest-plot data</w:t>
            </w:r>
          </w:p>
        </w:tc>
      </w:tr>
      <w:tr>
        <w:trPr>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Fang et al. [21]</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Prediction score</w:t>
            </w:r>
          </w:p>
        </w:tc>
        <w:tc>
          <w:tcPr>
            <w:tcW w:type="dxa" w:w="4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Breakthrough UTI score components and validation</w:t>
            </w:r>
          </w:p>
        </w:tc>
      </w:tr>
    </w:tbl>
    <w:p>
      <w:pPr>
        <w:spacing w:after="120" w:before="240" w:line="276"/>
      </w:pPr>
      <w:r>
        <w:rPr>
          <w:rFonts w:ascii="Times New Roman" w:cs="Times New Roman" w:eastAsia="Times New Roman" w:hAnsi="Times New Roman"/>
          <w:b/>
          <w:bCs/>
          <w:sz w:val="22"/>
          <w:szCs w:val="22"/>
        </w:rPr>
        <w:t xml:space="preserve">Table 2.</w:t>
      </w:r>
      <w:r>
        <w:rPr>
          <w:rFonts w:ascii="Times New Roman" w:cs="Times New Roman" w:eastAsia="Times New Roman" w:hAnsi="Times New Roman"/>
          <w:sz w:val="22"/>
          <w:szCs w:val="22"/>
        </w:rPr>
        <w:t xml:space="preserve"> Phase 1 paired performance: raw-PDF versus curated structured-text sources (n=50 paired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400"/>
        <w:gridCol w:w="1100"/>
        <w:gridCol w:w="1600"/>
        <w:gridCol w:w="1000"/>
      </w:tblGrid>
      <w:tr>
        <w:trPr>
          <w:tblHeader/>
        </w:trPr>
        <w:tc>
          <w:tcPr>
            <w:tcW w:type="dxa" w:w="27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Outcome</w:t>
            </w:r>
          </w:p>
        </w:tc>
        <w:tc>
          <w:tcPr>
            <w:tcW w:type="dxa" w:w="12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Raw-PDF RAG</w:t>
            </w:r>
          </w:p>
        </w:tc>
        <w:tc>
          <w:tcPr>
            <w:tcW w:type="dxa" w:w="14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Curated-text RAG</w:t>
            </w:r>
          </w:p>
        </w:tc>
        <w:tc>
          <w:tcPr>
            <w:tcW w:type="dxa" w:w="11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Difference</w:t>
            </w:r>
          </w:p>
        </w:tc>
        <w:tc>
          <w:tcPr>
            <w:tcW w:type="dxa" w:w="16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Test</w:t>
            </w:r>
          </w:p>
        </w:tc>
        <w:tc>
          <w:tcPr>
            <w:tcW w:type="dxa" w:w="10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p</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Total score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84/100</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94/100</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Descriptive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Mean item score (SD)</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1.68 (0.55)</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1.88 (0.33)</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+0.20</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Wilcoxon signed-rank</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0.019</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Completely correct answers</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36/50 (72%)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44/50 (88%)</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+8 (+16%)</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Exact McNemar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0.039</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Major errors</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2/50 (4%)</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1/50 (2%)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Descriptive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Items improved / tied / worsened</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10 / 38 / 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Sign test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0.039</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Blinded re-scoring: total score</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82/100</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93/100</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+11</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Descriptive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Blinded re-scoring: completely correct</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34/50 (68%)</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43/50 (86%)</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+9</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Exact McNemar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0.022</w:t>
            </w:r>
          </w:p>
        </w:tc>
      </w:tr>
      <w:tr>
        <w:trPr>
          <w:tblHeader w:val="false"/>
        </w:trPr>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Inter-rater agreement (quadratic-weighted κ)</w:t>
            </w:r>
          </w:p>
        </w:tc>
        <w:tc>
          <w:tcPr>
            <w:tcW w:type="dxa" w:w="1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0.87</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0.74</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t>
            </w:r>
          </w:p>
        </w:tc>
      </w:tr>
    </w:tbl>
    <w:p>
      <w:pPr>
        <w:spacing w:after="120" w:before="240" w:line="276"/>
      </w:pPr>
      <w:r>
        <w:rPr>
          <w:rFonts w:ascii="Times New Roman" w:cs="Times New Roman" w:eastAsia="Times New Roman" w:hAnsi="Times New Roman"/>
          <w:b/>
          <w:bCs/>
          <w:sz w:val="22"/>
          <w:szCs w:val="22"/>
        </w:rPr>
        <w:t xml:space="preserve">Table 3.</w:t>
      </w:r>
      <w:r>
        <w:rPr>
          <w:rFonts w:ascii="Times New Roman" w:cs="Times New Roman" w:eastAsia="Times New Roman" w:hAnsi="Times New Roman"/>
          <w:sz w:val="22"/>
          <w:szCs w:val="22"/>
        </w:rPr>
        <w:t xml:space="preserve"> Phase 2: clinical-methodological summary of key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300"/>
      </w:tblGrid>
      <w:tr>
        <w:trPr>
          <w:tblHeader/>
        </w:trPr>
        <w:tc>
          <w:tcPr>
            <w:tcW w:type="dxa" w:w="9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Item</w:t>
            </w:r>
          </w:p>
        </w:tc>
        <w:tc>
          <w:tcPr>
            <w:tcW w:type="dxa" w:w="28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Clinical issue</w:t>
            </w:r>
          </w:p>
        </w:tc>
        <w:tc>
          <w:tcPr>
            <w:tcW w:type="dxa" w:w="5300"/>
            <w:tcBorders>
              <w:top w:val="single" w:color="808080" w:sz="4"/>
              <w:left w:val="single" w:color="808080" w:sz="4"/>
              <w:bottom w:val="single" w:color="808080" w:sz="4"/>
              <w:right w:val="single" w:color="808080" w:sz="4"/>
            </w:tcBorders>
            <w:shd w:fill="D9E2EC" w:color="auto" w:val="clear"/>
            <w:tcMar>
              <w:top w:type="dxa" w:w="60"/>
              <w:left w:type="dxa" w:w="90"/>
              <w:bottom w:type="dxa" w:w="60"/>
              <w:right w:type="dxa" w:w="90"/>
            </w:tcMar>
          </w:tcPr>
          <w:p>
            <w:pPr>
              <w:spacing w:line="240"/>
            </w:pPr>
            <w:r>
              <w:rPr>
                <w:rFonts w:ascii="Times New Roman" w:cs="Times New Roman" w:eastAsia="Times New Roman" w:hAnsi="Times New Roman"/>
                <w:b/>
                <w:bCs/>
                <w:sz w:val="18"/>
                <w:szCs w:val="18"/>
              </w:rPr>
              <w:t xml:space="preserve">Main finding</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P1</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Cystography or contrast-enhanced voiding urosonography after a first febrile UTI</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RAG classified the ultrasound-only indication as incomplete, because abnormal ultrasound is one indication but not the only risk criterion; Open Evidence relied mainly on an ultrasound-abnormality criterion.</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P4–P5</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Timing of follow-up cystography under antibiotic prophylaxis</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Current guidelines define no single universal interval. RAG explicitly stated that fixed-timing options were not directly specified, supporting a "not adjudicable as single best answer" interpretation.</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P8</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Persistent grade IV–V VUR at 2–3 years</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RAG distinguished continued prophylaxis (surveillance) from disease-correcting treatment; if the question asks for treatment, surgical correction is more guideline-consistent than prophylaxis alone.</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P9–P10</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VUR with differential renal uptake &lt;10% in asymptomatic patients</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Observation may be reasonable in selected asymptomatic patients but is not equivalent to active treatment of a nearly non-functioning unit; the item wording conflates surveillance with definitive treatment.</w:t>
            </w:r>
          </w:p>
        </w:tc>
      </w:tr>
      <w:tr>
        <w:trPr>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P11</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Symptomatic VUR despite prophylaxis with uptake &lt;10%</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pPr>
            <w:r>
              <w:rPr>
                <w:rFonts w:ascii="Times New Roman" w:cs="Times New Roman" w:eastAsia="Times New Roman" w:hAnsi="Times New Roman"/>
                <w:b w:val="false"/>
                <w:bCs w:val="false"/>
                <w:sz w:val="18"/>
                <w:szCs w:val="18"/>
              </w:rPr>
              <w:t xml:space="preserve">When breakthrough infections persist despite prophylaxis, conservative prevention has failed; with an adequately functioning contralateral kidney, nephrectomy is the coherent active treatment.</w:t>
            </w:r>
          </w:p>
        </w:tc>
      </w:tr>
    </w:tbl>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2026-09-27T16:33:38.267Z</dcterms:created>
  <dcterms:modified xsi:type="dcterms:W3CDTF">2026-09-27T16:33:38.267Z</dcterms:modified>
</cp:coreProperties>
</file>

<file path=docProps/custom.xml><?xml version="1.0" encoding="utf-8"?>
<Properties xmlns="http://schemas.openxmlformats.org/officeDocument/2006/custom-properties" xmlns:vt="http://schemas.openxmlformats.org/officeDocument/2006/docPropsVTypes"/>
</file>