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burofax de no renovación del alquiler (2026)</w:t>
      </w:r>
    </w:p>
    <w:p>
      <w:pPr>
        <w:jc w:val="center"/>
      </w:pPr>
      <w:r>
        <w:rPr>
          <w:b/>
          <w:sz w:val="24"/>
        </w:rPr>
        <w:t>No renovación y desistimiento son diferentes</w:t>
      </w:r>
    </w:p>
    <w:p>
      <w:pPr>
        <w:jc w:val="both"/>
      </w:pPr>
      <w:r>
        <w:t xml:space="preserve">No renovar significa terminar </w:t>
      </w:r>
      <w:r>
        <w:rPr>
          <w:b/>
        </w:rPr>
        <w:t>en un vencimiento en que la ley permite hacerlo</w:t>
      </w:r>
      <w:r>
        <w:t>. Desistir significa salir antes del vencimiento: utiliza el burofax de desistimiento (https://cirameva.com/modelos/burofax-desistimiento-alquiler/). Esta página toma como referencia vivienda habitual bajo el régimen vigente para contratos desde el 6 de marzo de 2019; contratos anteriores necesitan comprobar su régimen transitorio.</w:t>
      </w:r>
    </w:p>
    <w:p>
      <w:pPr>
        <w:pStyle w:val="ListBullet"/>
      </w:pPr>
      <w:r>
        <w:t>Durante la duración mínima de cinco años con arrendador persona física o siete con persona jurídica, el inquilino puede evitar la renovación anual notificando con al menos treinta días (art. 9.1).</w:t>
      </w:r>
    </w:p>
    <w:p>
      <w:pPr>
        <w:pStyle w:val="ListBullet"/>
      </w:pPr>
      <w:r>
        <w:t>Al terminar ese periodo mínimo, el preaviso es de cuatro meses para el propietario y dos meses para el inquilino (art. 10.1).</w:t>
      </w:r>
    </w:p>
    <w:p>
      <w:pPr>
        <w:pStyle w:val="ListBullet"/>
      </w:pPr>
      <w:r>
        <w:t>En las anualidades de la prórroga del artículo 10.1, el inquilino puede no renovar avisando con un mes de antelación.</w:t>
      </w:r>
    </w:p>
    <w:p>
      <w:pPr>
        <w:jc w:val="both"/>
      </w:pPr>
      <w:r>
        <w:t>El propietario no puede evitar la prórroga obligatoria simplemente porque su contrato diga «un año». Antes de utilizar su opción, comprueba además las prórrogas extraordinarias de los artículos 10.2 y 10.3, vulnerabilidad, gran tenedor y zona tensionada. La recuperación por necesidad del artículo 9.3 tiene otra causa y requisitos; no uses este modelo para ella.</w:t>
      </w:r>
    </w:p>
    <w:p>
      <w:pPr>
        <w:jc w:val="center"/>
      </w:pPr>
      <w:r>
        <w:rPr>
          <w:b/>
          <w:sz w:val="24"/>
        </w:rPr>
        <w:t>Encabezado común</w:t>
      </w:r>
    </w:p>
    <w:p>
      <w:pPr>
        <w:jc w:val="both"/>
      </w:pPr>
      <w:r>
        <w:rPr>
          <w:b/>
        </w:rPr>
        <w:t>Remitente:</w:t>
      </w:r>
      <w:r>
        <w:t xml:space="preserve"> [nombre, documento y domicilio]. </w:t>
      </w:r>
      <w:r>
        <w:rPr>
          <w:b/>
        </w:rPr>
        <w:t>Destinatario:</w:t>
      </w:r>
      <w:r>
        <w:t xml:space="preserve"> [otra parte y domicilio de notificaciones].</w:t>
      </w:r>
    </w:p>
    <w:p>
      <w:pPr>
        <w:jc w:val="both"/>
      </w:pPr>
      <w:r>
        <w:rPr>
          <w:b/>
        </w:rPr>
        <w:t>Fecha:</w:t>
      </w:r>
      <w:r>
        <w:t xml:space="preserve"> [localidad y fecha]. </w:t>
      </w:r>
      <w:r>
        <w:rPr>
          <w:b/>
        </w:rPr>
        <w:t>Vivienda:</w:t>
      </w:r>
      <w:r>
        <w:t xml:space="preserve"> [dirección completa]. </w:t>
      </w:r>
      <w:r>
        <w:rPr>
          <w:b/>
        </w:rPr>
        <w:t>Contrato:</w:t>
      </w:r>
      <w:r>
        <w:t xml:space="preserve"> [fecha y puesta a disposición].</w:t>
      </w:r>
    </w:p>
    <w:p>
      <w:pPr>
        <w:jc w:val="center"/>
      </w:pPr>
      <w:r>
        <w:rPr>
          <w:b/>
          <w:sz w:val="24"/>
        </w:rPr>
        <w:t>Opción A: comunica el inquilino</w:t>
      </w:r>
    </w:p>
    <w:p>
      <w:pPr>
        <w:jc w:val="both"/>
      </w:pPr>
      <w:r>
        <w:rPr>
          <w:b/>
        </w:rPr>
        <w:t>Asunto: voluntad de no renovar el arrendamiento a su vencimiento.</w:t>
      </w:r>
    </w:p>
    <w:p>
      <w:pPr>
        <w:jc w:val="both"/>
      </w:pPr>
      <w:r>
        <w:t>Estimado/a [nombre]:</w:t>
      </w:r>
    </w:p>
    <w:p>
      <w:pPr>
        <w:jc w:val="both"/>
      </w:pPr>
      <w:r>
        <w:t xml:space="preserve">Comunico mi voluntad de no renovar el contrato de la vivienda indicada al vencimiento del </w:t>
      </w:r>
      <w:r>
        <w:rPr>
          <w:b/>
        </w:rPr>
        <w:t>[fecha]</w:t>
      </w:r>
      <w:r>
        <w:t xml:space="preserve">, conforme al </w:t>
      </w:r>
      <w:r>
        <w:rPr>
          <w:b/>
        </w:rPr>
        <w:t>[artículo 9.1 / artículo 10.1, elegir el aplicable]</w:t>
      </w:r>
      <w:r>
        <w:t>. Me encuentro en [periodo mínimo / fin del periodo mínimo / anualidad de prórroga], y efectúo la comunicación con [número] días o meses de antelación, dentro del plazo legal aplicable.</w:t>
      </w:r>
    </w:p>
    <w:p>
      <w:pPr>
        <w:jc w:val="both"/>
      </w:pPr>
      <w:r>
        <w:t>Propongo revisar la vivienda y entregar todas las llaves el [fecha y hora], con acta firmada por ambas partes. Solicito confirmación de la cita por escrito en [contacto]. Se liquidarán rentas y suministros acreditados, y solicito devolución de la fianza de [importe] € y garantía de [importe] €, con desglose de cualquier descuento. No renuncio a derechos ni acepto cargos sin justificar.</w:t>
      </w:r>
    </w:p>
    <w:p>
      <w:pPr>
        <w:jc w:val="both"/>
      </w:pPr>
      <w:r>
        <w:t>Atentamente, [nombre y firma].</w:t>
      </w:r>
    </w:p>
    <w:p>
      <w:pPr>
        <w:jc w:val="center"/>
      </w:pPr>
      <w:r>
        <w:rPr>
          <w:b/>
          <w:sz w:val="24"/>
        </w:rPr>
        <w:t>Opción B: comunica el propietario al finalizar el periodo mínimo</w:t>
      </w:r>
    </w:p>
    <w:p>
      <w:pPr>
        <w:jc w:val="both"/>
      </w:pPr>
      <w:r>
        <w:rPr>
          <w:b/>
        </w:rPr>
        <w:t>Asunto: comunicación de no renovación al vencimiento, artículo 10.1 LAU.</w:t>
      </w:r>
    </w:p>
    <w:p>
      <w:pPr>
        <w:jc w:val="both"/>
      </w:pPr>
      <w:r>
        <w:t>Estimado/a [nombre]:</w:t>
      </w:r>
    </w:p>
    <w:p>
      <w:pPr>
        <w:jc w:val="both"/>
      </w:pPr>
      <w:r>
        <w:t xml:space="preserve">Como arrendador/a de [vivienda], comunico mi voluntad de no renovar al vencimiento del </w:t>
      </w:r>
      <w:r>
        <w:rPr>
          <w:b/>
        </w:rPr>
        <w:t>[fecha]</w:t>
      </w:r>
      <w:r>
        <w:t>, una vez completados [cinco/siete] años, con al menos cuatro meses de antelación. El inicio de cómputo fue [fecha]. Esta comunicación queda sujeta a los derechos de prórroga extraordinaria que legalmente resulten aplicables; no implica una renuncia del arrendatario a esos derechos.</w:t>
      </w:r>
    </w:p>
    <w:p>
      <w:pPr>
        <w:jc w:val="both"/>
      </w:pPr>
      <w:r>
        <w:t>Propongo coordinar en [contacto] la entrega de posesión y llaves y la liquidación documentada de fianza y cantidades pendientes, sin perjuicio de las solicitudes legales de prórroga que procedan.</w:t>
      </w:r>
    </w:p>
    <w:p>
      <w:pPr>
        <w:jc w:val="both"/>
      </w:pPr>
      <w:r>
        <w:t>Atentamente, [nombre y firma].</w:t>
      </w:r>
    </w:p>
    <w:p>
      <w:pPr>
        <w:jc w:val="center"/>
      </w:pPr>
      <w:r>
        <w:rPr>
          <w:b/>
          <w:sz w:val="24"/>
        </w:rPr>
        <w:t>Revisión del envío</w:t>
      </w:r>
    </w:p>
    <w:p>
      <w:pPr>
        <w:jc w:val="both"/>
      </w:pPr>
      <w:r>
        <w:t>Comprueba que la notificación pueda llegar a tiempo, conserva texto y recepción y no cambies cerraduras si el ocupante permanece. La carta no autoriza a recuperar la posesión por la fuerza. Prepara un acta de llaves (https://cirameva.com/modelos/recibo-entrega-llaves/).</w:t>
      </w:r>
    </w:p>
    <w:p>
      <w:pPr>
        <w:jc w:val="both"/>
      </w:pPr>
      <w:r>
        <w:rPr>
          <w:b/>
        </w:rPr>
        <w:t>Fuente:</w:t>
      </w:r>
      <w:r>
        <w:t xml:space="preserve"> LAU, artículos 9 y 10 (https://www.boe.es/buscar/act.php?id=BOE-A-1994-26003#a9), versión consultada el 5 de octubre de 2026. No es asesoramiento jurídico.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(https://cirameva.com/modelos/burofax-no-renovacion-alquiler/),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