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contrato de alquiler de plaza de garaje (2026)</w:t>
      </w:r>
    </w:p>
    <w:p>
      <w:pPr>
        <w:jc w:val="center"/>
      </w:pPr>
      <w:r>
        <w:rPr>
          <w:b/>
          <w:sz w:val="24"/>
        </w:rPr>
        <w:t>Una plaza independiente, no un anexo de vivienda</w:t>
      </w:r>
    </w:p>
    <w:p>
      <w:pPr>
        <w:jc w:val="both"/>
      </w:pPr>
      <w:r>
        <w:t xml:space="preserve">Esta plantilla es para una plaza de garaje alquilada </w:t>
      </w:r>
      <w:r>
        <w:rPr>
          <w:b/>
        </w:rPr>
        <w:t>separadamente</w:t>
      </w:r>
      <w:r>
        <w:t>. Si se alquila como accesorio de una vivienda por el mismo arrendador, el artículo 2.2 LAU extiende el régimen de vivienda al accesorio y hay que adaptarlo conjuntamente. En una plaza independiente debe comprobarse su encaje en el Código Civil o, según el inmueble y objeto, en la LAU para uso distinto; no existe una calificación universal por llamar al contrato «garaje».</w:t>
      </w:r>
    </w:p>
    <w:p>
      <w:pPr>
        <w:jc w:val="both"/>
      </w:pPr>
      <w:r>
        <w:t>El alquiler independiente de una plaza está sujeto y no exento de IVA al 21 %, incluso en supuestos de arrendador particular, con las obligaciones fiscales correspondientes. Si se alquila conjuntamente con una vivienda exenta puede operar la exención. La renta debe expresar con claridad base e impuesto, y comprobar retenciones si el arrendatario actúa como empresario o profesional.</w:t>
      </w:r>
    </w:p>
    <w:p>
      <w:pPr>
        <w:jc w:val="center"/>
      </w:pPr>
      <w:r>
        <w:rPr>
          <w:b/>
          <w:sz w:val="24"/>
        </w:rPr>
        <w:t>Contrato</w:t>
      </w:r>
    </w:p>
    <w:p>
      <w:pPr>
        <w:jc w:val="both"/>
      </w:pPr>
      <w:r>
        <w:t>En [localidad], a [fecha].</w:t>
      </w:r>
    </w:p>
    <w:p>
      <w:pPr>
        <w:jc w:val="both"/>
      </w:pPr>
      <w:r>
        <w:rPr>
          <w:b/>
        </w:rPr>
        <w:t>Arrendador:</w:t>
      </w:r>
      <w:r>
        <w:t xml:space="preserve"> [nombre, documento y domicilio], titular o autorizado para arrendar. </w:t>
      </w:r>
      <w:r>
        <w:rPr>
          <w:b/>
        </w:rPr>
        <w:t>Arrendatario:</w:t>
      </w:r>
      <w:r>
        <w:t xml:space="preserve"> [nombre, documento y domicilio]. Ambas partes acuerdan:</w:t>
      </w:r>
    </w:p>
    <w:p>
      <w:pPr>
        <w:jc w:val="both"/>
      </w:pPr>
      <w:r>
        <w:rPr>
          <w:b/>
        </w:rPr>
        <w:t>1. Plaza.</w:t>
      </w:r>
      <w:r>
        <w:t xml:space="preserve"> Se arrienda la plaza número [número], planta [planta], del garaje en [dirección], con identificación registral o catastral [datos] y dimensiones [datos]. Se adjunta plano o fotografía para evitar confusiones. No se arrienda una vivienda ni un anexo conjunto.</w:t>
      </w:r>
    </w:p>
    <w:p>
      <w:pPr>
        <w:jc w:val="both"/>
      </w:pPr>
      <w:r>
        <w:rPr>
          <w:b/>
        </w:rPr>
        <w:t>2. Uso.</w:t>
      </w:r>
      <w:r>
        <w:t xml:space="preserve"> Exclusivamente estacionamiento de [tipo de vehículo, matrícula opcional y dimensiones admitidas]. No se autoriza almacenamiento peligroso, taller, actividad comercial ni instalación de cargador sin consentimiento y permisos exigibles. Se respetarán normas de la comunidad, circulación y seguridad.</w:t>
      </w:r>
    </w:p>
    <w:p>
      <w:pPr>
        <w:jc w:val="both"/>
      </w:pPr>
      <w:r>
        <w:rPr>
          <w:b/>
        </w:rPr>
        <w:t>3. Duración.</w:t>
      </w:r>
      <w:r>
        <w:t xml:space="preserve"> Desde [fecha] hasta [fecha]. </w:t>
      </w:r>
      <w:r>
        <w:rPr>
          <w:b/>
        </w:rPr>
        <w:t>[Elegir: sin renovación automática / renovación por periodos de … salvo aviso con … días.]</w:t>
      </w:r>
      <w:r>
        <w:t xml:space="preserve"> La finalización anticipada podrá acordarse con [preaviso y liquidación], respetando las normas aplicables. No se afirma una duración mínima de cinco o siete años propia de vivienda habitual.</w:t>
      </w:r>
    </w:p>
    <w:p>
      <w:pPr>
        <w:jc w:val="both"/>
      </w:pPr>
      <w:r>
        <w:rPr>
          <w:b/>
        </w:rPr>
        <w:t>4. Renta.</w:t>
      </w:r>
      <w:r>
        <w:t xml:space="preserve"> Base mensual [importe] €, IVA al 21 % [importe] €, total </w:t>
      </w:r>
      <w:r>
        <w:rPr>
          <w:b/>
        </w:rPr>
        <w:t>[importe] €</w:t>
      </w:r>
      <w:r>
        <w:t xml:space="preserve">. Si legalmente procede retención, se practicará y documentará conforme a su normativa, sin confundirla con un descuento del precio. Pago por [medio] en [plazo]. El arrendador emitirá el justificante fiscal exigible. Actualización </w:t>
      </w:r>
      <w:r>
        <w:rPr>
          <w:b/>
        </w:rPr>
        <w:t>[no prevista / pacto y fecha]</w:t>
      </w:r>
      <w:r>
        <w:t>.</w:t>
      </w:r>
    </w:p>
    <w:p>
      <w:pPr>
        <w:jc w:val="both"/>
      </w:pPr>
      <w:r>
        <w:rPr>
          <w:b/>
        </w:rPr>
        <w:t>5. Gastos.</w:t>
      </w:r>
      <w:r>
        <w:t xml:space="preserve"> Comunidad y mantenimiento ordinario a cargo de [parte]; otros conceptos [detallar importe o criterio]. No se cobrarán gastos no identificados. La electricidad de un cargador, si se autoriza, se medirá y liquidará conforme a [pacto específico].</w:t>
      </w:r>
    </w:p>
    <w:p>
      <w:pPr>
        <w:jc w:val="both"/>
      </w:pPr>
      <w:r>
        <w:rPr>
          <w:b/>
        </w:rPr>
        <w:t>6. Fianza o garantía.</w:t>
      </w:r>
      <w:r>
        <w:t xml:space="preserve"> Se entregan [importe] € con recibo. Si resulta aplicable la LAU para uso distinto, se fijará la fianza legal de dos mensualidades y su depósito autonómico cuando proceda; si rige otro régimen, se identificará como garantía contractual conforme a éste. No se presentará una garantía pactada como fianza legal sin comprobarlo. Al terminar se devolverá el saldo, descontando solo deuda o daños acreditados, en [plazo pactado compatible con la ley].</w:t>
      </w:r>
    </w:p>
    <w:p>
      <w:pPr>
        <w:jc w:val="both"/>
      </w:pPr>
      <w:r>
        <w:rPr>
          <w:b/>
        </w:rPr>
        <w:t>7. Acceso y conservación.</w:t>
      </w:r>
      <w:r>
        <w:t xml:space="preserve"> Se entregan [número] mandos, llaves o tarjetas identificados en el anexo, en estado [descripción]. El arrendador conservará la plaza apta para el uso pactado y el arrendatario comunicará incidencias. El alquiler no incluye custodia del vehículo ni seguro de sus objetos, sin excluir responsabilidades legalmente exigibles.</w:t>
      </w:r>
    </w:p>
    <w:p>
      <w:pPr>
        <w:jc w:val="both"/>
      </w:pPr>
      <w:r>
        <w:rPr>
          <w:b/>
        </w:rPr>
        <w:t>8. Cesión y devolución.</w:t>
      </w:r>
      <w:r>
        <w:t xml:space="preserve"> No se cederá el uso sin permiso escrito. A la salida se devolverán dispositivos y se firmará acta de estado y liquidación. Una deuda no autoriza a bloquear o retirar el vehículo por cuenta propia.</w:t>
      </w:r>
    </w:p>
    <w:p>
      <w:pPr>
        <w:jc w:val="both"/>
      </w:pPr>
      <w:r>
        <w:rPr>
          <w:b/>
        </w:rPr>
        <w:t>9. Comunicaciones.</w:t>
      </w:r>
      <w:r>
        <w:t xml:space="preserve"> [Domicilios y contactos]. Se firma en dos ejemplares con plano, dispositivos y normas anexos.</w:t>
      </w:r>
    </w:p>
    <w:p>
      <w:pPr>
        <w:jc w:val="both"/>
      </w:pPr>
      <w:r>
        <w:rPr>
          <w:b/>
        </w:rPr>
        <w:t>Firmas:</w:t>
      </w:r>
      <w:r>
        <w:t xml:space="preserve"> [arrendador] y [arrendatario].</w:t>
      </w:r>
    </w:p>
    <w:p>
      <w:pPr>
        <w:jc w:val="both"/>
      </w:pPr>
      <w:r>
        <w:rPr>
          <w:b/>
        </w:rPr>
        <w:t>Fuentes:</w:t>
      </w:r>
      <w:r>
        <w:t xml:space="preserve"> LAU, artículos 2, 3 y 36 (https://www.boe.es/buscar/act.php?id=BOE-A-1994-26003), Ley del IVA, artículos 20.Uno.23 y 90 (https://www.boe.es/buscar/act.php?id=BOE-A-1992-28740) y Agencia Tributaria: IVA en plazas de garaje (https://sede.agenciatributaria.gob.es/Sede/iva/iva-operaciones-inmobiliarias/preguntas-frecuentes-sobre-iva-arrendamiento-inmuebles/exenciones.html). Consultadas el 5 de octubre de 2026. No es asesoramiento jurídico. Adapta el recibo de llaves y mandos (https://cirameva.com/modelos/recibo-entrega-llaves/).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(https://cirameva.com/modelos/contrato-alquiler-garaje/), orientativo y no constitutivo de asesoramiento jurídico. Si prefieres que te lo preparemos a tu caso: https://cirameva.com/vivienda/contrato-alquiler/ (59 €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