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contrato de alquiler de temporada (2026)</w:t>
      </w:r>
    </w:p>
    <w:p>
      <w:pPr>
        <w:jc w:val="center"/>
      </w:pPr>
      <w:r>
        <w:rPr>
          <w:b/>
          <w:sz w:val="24"/>
        </w:rPr>
        <w:t>Temporada exige una causa real</w:t>
      </w:r>
    </w:p>
    <w:p>
      <w:pPr>
        <w:jc w:val="both"/>
      </w:pPr>
      <w:r>
        <w:t>Un contrato de once meses no es de temporada solo por su duración. Debe cubrir una necesidad temporal real, por ejemplo un curso académico o un desplazamiento laboral delimitado, y no encubrir la residencia permanente. Esta plantilla se refiere al arrendamiento para uso distinto del de vivienda del artículo 3 LAU. El uso turístico puede quedar excluido de la LAU y exige otro régimen. Comprueba también normativa autonómica, límites que correspondan y, si se anuncia en plataformas, requisitos de registro aplicables.</w:t>
      </w:r>
    </w:p>
    <w:p>
      <w:pPr>
        <w:jc w:val="both"/>
      </w:pPr>
      <w:r>
        <w:t>No declares un domicilio habitual distinto que no exista. Si el uso real es permanente, emplea el contrato de vivienda habitual (https://cirameva.com/modelos/contrato-alquiler/).</w:t>
      </w:r>
    </w:p>
    <w:p>
      <w:pPr>
        <w:jc w:val="center"/>
      </w:pPr>
      <w:r>
        <w:rPr>
          <w:b/>
          <w:sz w:val="24"/>
        </w:rPr>
        <w:t>Contrato para adaptar</w:t>
      </w:r>
    </w:p>
    <w:p>
      <w:pPr>
        <w:jc w:val="both"/>
      </w:pPr>
      <w:r>
        <w:t>En [localidad], a [fecha].</w:t>
      </w:r>
    </w:p>
    <w:p>
      <w:pPr>
        <w:jc w:val="both"/>
      </w:pPr>
      <w:r>
        <w:rPr>
          <w:b/>
        </w:rPr>
        <w:t>Arrendador:</w:t>
      </w:r>
      <w:r>
        <w:t xml:space="preserve"> [nombre o razón social, documento, representante y domicilio]. </w:t>
      </w:r>
      <w:r>
        <w:rPr>
          <w:b/>
        </w:rPr>
        <w:t>Arrendatario:</w:t>
      </w:r>
      <w:r>
        <w:t xml:space="preserve"> [nombre, documento y domicilio]. Ambas partes acuerdan:</w:t>
      </w:r>
    </w:p>
    <w:p>
      <w:pPr>
        <w:jc w:val="both"/>
      </w:pPr>
      <w:r>
        <w:rPr>
          <w:b/>
        </w:rPr>
        <w:t>1. Inmueble.</w:t>
      </w:r>
      <w:r>
        <w:t xml:space="preserve"> Se arrienda la vivienda [dirección, referencia catastral e identificación], con [muebles y anexos]. Se entrega el inventario firmado, fotografías y documentación de habitabilidad y eficiencia energética exigible.</w:t>
      </w:r>
    </w:p>
    <w:p>
      <w:pPr>
        <w:jc w:val="both"/>
      </w:pPr>
      <w:r>
        <w:rPr>
          <w:b/>
        </w:rPr>
        <w:t>2. Causa temporal.</w:t>
      </w:r>
      <w:r>
        <w:t xml:space="preserve"> El arrendatario necesita alojamiento por [curso o trabajo concreto], desde [fecha] hasta [fecha]. Se incorpora como anexo [matrícula, desplazamiento u otra prueba]. Su residencia habitual es [domicilio real, si existe]. La finalidad efectiva declarada es temporal; una descripción ficticia no excluye la aplicación del régimen legal que corresponda.</w:t>
      </w:r>
    </w:p>
    <w:p>
      <w:pPr>
        <w:jc w:val="both"/>
      </w:pPr>
      <w:r>
        <w:rPr>
          <w:b/>
        </w:rPr>
        <w:t>3. Duración y entrega.</w:t>
      </w:r>
      <w:r>
        <w:t xml:space="preserve"> El arrendamiento empieza el [fecha] con entrega de posesión y llaves, y termina el [fecha], coincidiendo con la causa descrita. Toda prolongación deberá documentar la causa y las condiciones, sin perjuicio de derechos legales imperativos. La salida anticipada se pacta así: [preaviso, liquidación y, si procede, compensación concreta proporcionada]. No se aplican automáticamente los seis meses y treinta días del artículo 11, propios de vivienda habitual.</w:t>
      </w:r>
    </w:p>
    <w:p>
      <w:pPr>
        <w:jc w:val="both"/>
      </w:pPr>
      <w:r>
        <w:rPr>
          <w:b/>
        </w:rPr>
        <w:t>4. Renta y pago.</w:t>
      </w:r>
      <w:r>
        <w:t xml:space="preserve"> Renta de [importe] € al mes, pagadera en [plazo y medio]. Para periodos parciales se aplica [criterio y cálculo]. </w:t>
      </w:r>
      <w:r>
        <w:rPr>
          <w:b/>
        </w:rPr>
        <w:t>[No se actualiza durante el plazo / se pacta actualización conforme a …, dentro de los límites aplicables.]</w:t>
      </w:r>
      <w:r>
        <w:t xml:space="preserve"> Se entrega justificante del primer pago de [importe] €.</w:t>
      </w:r>
    </w:p>
    <w:p>
      <w:pPr>
        <w:jc w:val="both"/>
      </w:pPr>
      <w:r>
        <w:rPr>
          <w:b/>
        </w:rPr>
        <w:t>5. Fianza.</w:t>
      </w:r>
      <w:r>
        <w:t xml:space="preserve"> Al ser uso distinto del de vivienda, se entregan </w:t>
      </w:r>
      <w:r>
        <w:rPr>
          <w:b/>
        </w:rPr>
        <w:t>dos mensualidades de renta</w:t>
      </w:r>
      <w:r>
        <w:t>, [importe] €, como fianza legal conforme al artículo 36.1 LAU. Garantía adicional: [ninguna / importe y condiciones]. El arrendador realizará el depósito autonómico cuando sea obligatorio. Al terminar se devuelve el saldo debido, con descuentos acreditados; el saldo de fianza devenga interés legal pasado un mes desde la devolución de llaves sin restitución.</w:t>
      </w:r>
    </w:p>
    <w:p>
      <w:pPr>
        <w:jc w:val="both"/>
      </w:pPr>
      <w:r>
        <w:rPr>
          <w:b/>
        </w:rPr>
        <w:t>6. Gastos.</w:t>
      </w:r>
      <w:r>
        <w:t xml:space="preserve"> La renta incluye [lista]. Los suministros [lista] son de cargo del arrendatario según [contadores y facturas]. Otros gastos pactados: [concepto, importe y reparto]. No se repercutirán cargos contrarios a normas aplicables.</w:t>
      </w:r>
    </w:p>
    <w:p>
      <w:pPr>
        <w:jc w:val="both"/>
      </w:pPr>
      <w:r>
        <w:rPr>
          <w:b/>
        </w:rPr>
        <w:t>7. Conservación.</w:t>
      </w:r>
      <w:r>
        <w:t xml:space="preserve"> Las reparaciones y obras se regirán por los artículos 21, 22, 23 y 26 LAU, aplicables por el artículo 30, en lo que proceda. El ocupante comunicará averías y facilitará las actuaciones acordadas, sin autorizar entradas indiscriminadas. No se harán obras o alteraciones sin autorización exigible.</w:t>
      </w:r>
    </w:p>
    <w:p>
      <w:pPr>
        <w:jc w:val="both"/>
      </w:pPr>
      <w:r>
        <w:rPr>
          <w:b/>
        </w:rPr>
        <w:t>8. Uso.</w:t>
      </w:r>
      <w:r>
        <w:t xml:space="preserve"> No se cederá ni subarrendará sin consentimiento escrito pactado en este contrato. Ocupantes autorizados: [lista]. Normas de comunidad y convivencia: [anexo]. No se presta alojamiento turístico ni se permite cambiar a ese destino sin autorización y cumplimiento legal.</w:t>
      </w:r>
    </w:p>
    <w:p>
      <w:pPr>
        <w:jc w:val="both"/>
      </w:pPr>
      <w:r>
        <w:rPr>
          <w:b/>
        </w:rPr>
        <w:t>9. Finalización.</w:t>
      </w:r>
      <w:r>
        <w:t xml:space="preserve"> Se devolverán posesión, [número] llaves y [mandos], firmando acta de estado y contadores. No podrán retenerse pertenencias ni cortarse suministros como medio de reclamación. Los incumplimientos se tramitarán por las vías legales.</w:t>
      </w:r>
    </w:p>
    <w:p>
      <w:pPr>
        <w:jc w:val="both"/>
      </w:pPr>
      <w:r>
        <w:rPr>
          <w:b/>
        </w:rPr>
        <w:t>10. Notificaciones.</w:t>
      </w:r>
      <w:r>
        <w:t xml:space="preserve"> Domicilios [indicar]; correos [indicar]. Comunicaciones relevantes por medio que acredite contenido y recepción. Se firma en dos ejemplares.</w:t>
      </w:r>
    </w:p>
    <w:p>
      <w:pPr>
        <w:jc w:val="both"/>
      </w:pPr>
      <w:r>
        <w:rPr>
          <w:b/>
        </w:rPr>
        <w:t>Firmas:</w:t>
      </w:r>
      <w:r>
        <w:t xml:space="preserve"> [arrendador] y [arrendatario]. </w:t>
      </w:r>
      <w:r>
        <w:rPr>
          <w:b/>
        </w:rPr>
        <w:t>Anexos:</w:t>
      </w:r>
      <w:r>
        <w:t xml:space="preserve"> prueba de temporalidad, inventario, documentación del inmueble, pagos y llaves.</w:t>
      </w:r>
    </w:p>
    <w:p>
      <w:pPr>
        <w:jc w:val="both"/>
      </w:pPr>
      <w:r>
        <w:rPr>
          <w:b/>
        </w:rPr>
        <w:t>Fuente:</w:t>
      </w:r>
      <w:r>
        <w:t xml:space="preserve"> LAU, artículos 3, 4, 30 y 36 (https://www.boe.es/buscar/act.php?id=BOE-A-1994-26003), versión vigente consultada el 5 de octubre de 2026. No es asesoramiento jurídico. Usa el acta de llaves (https://cirameva.com/modelos/recibo-entrega-llaves/) al terminar.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(https://cirameva.com/modelos/contrato-alquiler-temporada/), orientativo y no constitutivo de asesoramiento jurídico. Si prefieres que te lo preparemos a tu caso: https://cirameva.com/vivienda/contrato-alquiler/ (59 €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