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National Drug Agency</w:t>
      </w:r>
    </w:p>
    <w:p>
      <w:pPr>
        <w:pStyle w:val="Heading2"/>
      </w:pPr>
      <w:r>
        <w:t xml:space="preserve">Pre-Market Authorization Review Report</w:t>
      </w:r>
    </w:p>
    <w:p>
      <w:pPr>
        <w:pStyle w:val="Title"/>
      </w:pPr>
      <w:r>
        <w:t xml:space="preserve">Hackathon Case Study - PASS - E2E-COMPLETE-20260508_114949</w:t>
      </w:r>
    </w:p>
    <w:p>
      <w:pPr>
        <w:pStyle w:val="Heading1"/>
      </w:pPr>
      <w:r>
        <w:t xml:space="preserve">Submission Summary</w:t>
      </w:r>
    </w:p>
    <w:p>
      <w:r>
        <w:t xml:space="preserve">Dossier Id: E2E-COMPLETE-20260508_114949</w:t>
      </w:r>
    </w:p>
    <w:p>
      <w:r>
        <w:t xml:space="preserve">Submission Type: pre_market_authorization</w:t>
      </w:r>
    </w:p>
    <w:p>
      <w:r>
        <w:t xml:space="preserve">Review Type: generic</w:t>
      </w:r>
    </w:p>
    <w:p>
      <w:r>
        <w:t xml:space="preserve">Applicant: Complete Applicant</w:t>
      </w:r>
    </w:p>
    <w:p>
      <w:r>
        <w:t xml:space="preserve">Product Name: Complete Review Demo</w:t>
      </w:r>
    </w:p>
    <w:p>
      <w:r>
        <w:t xml:space="preserve">Active Ingredient: ceftriaxone</w:t>
      </w:r>
    </w:p>
    <w:p>
      <w:r>
        <w:t xml:space="preserve">Dosage Form: unknown</w:t>
      </w:r>
    </w:p>
    <w:p>
      <w:r>
        <w:t xml:space="preserve">Strength: unknown</w:t>
      </w:r>
    </w:p>
    <w:p>
      <w:r>
        <w:t xml:space="preserve">Jurisdiction: Uganda</w:t>
      </w:r>
    </w:p>
    <w:p>
      <w:r>
        <w:t xml:space="preserve">Review Pathway: standard</w:t>
      </w:r>
    </w:p>
    <w:p>
      <w:pPr>
        <w:pStyle w:val="Heading1"/>
      </w:pPr>
      <w:r>
        <w:t xml:space="preserve">Administrative Review Outcome</w:t>
      </w:r>
    </w:p>
    <w:p>
      <w:r>
        <w:t xml:space="preserve">Status: administratively_incomplete</w:t>
      </w:r>
    </w:p>
    <w:p>
      <w:r>
        <w:t xml:space="preserve">- No proof of payment was detected in the administrative material.</w:t>
      </w:r>
    </w:p>
    <w:p>
      <w:pPr>
        <w:pStyle w:val="Heading1"/>
      </w:pPr>
      <w:r>
        <w:t xml:space="preserve">Dossier Structure Review Outcome</w:t>
      </w:r>
    </w:p>
    <w:p>
      <w:r>
        <w:t xml:space="preserve">Status: mapped</w:t>
      </w:r>
    </w:p>
    <w:p>
      <w:r>
        <w:t xml:space="preserve">- No structural dossier violations were detected.</w:t>
      </w:r>
    </w:p>
    <w:p>
      <w:pPr>
        <w:pStyle w:val="Heading1"/>
      </w:pPr>
      <w:r>
        <w:t xml:space="preserve">Applicable Rules And Requirements</w:t>
      </w:r>
    </w:p>
    <w:p>
      <w:r>
        <w:t xml:space="preserve">- Administrative completeness checklist</w:t>
      </w:r>
    </w:p>
    <w:p>
      <w:r>
        <w:t xml:space="preserve">- Structural dossier completeness rules</w:t>
      </w:r>
    </w:p>
    <w:p>
      <w:r>
        <w:t xml:space="preserve">- WHO INN similarity rule</w:t>
      </w:r>
    </w:p>
    <w:p>
      <w:r>
        <w:t xml:space="preserve">- Section adequacy and evidence sufficiency rules</w:t>
      </w:r>
    </w:p>
    <w:p>
      <w:r>
        <w:t xml:space="preserve">- Generic review packaging and patient-information comparison against innovator reference when provided</w:t>
      </w:r>
    </w:p>
    <w:p>
      <w:r>
        <w:t xml:space="preserve">- WHO AWaRe stewardship rules</w:t>
      </w:r>
    </w:p>
    <w:p>
      <w:pPr>
        <w:pStyle w:val="Heading1"/>
      </w:pPr>
      <w:r>
        <w:t xml:space="preserve">WHO INN Similarity Review</w:t>
      </w:r>
    </w:p>
    <w:p>
      <w:r>
        <w:t xml:space="preserve">Proposed Name: Complete Review Demo</w:t>
      </w:r>
    </w:p>
    <w:p>
      <w:r>
        <w:t xml:space="preserve">Who Inn: ceftriaxone</w:t>
      </w:r>
    </w:p>
    <w:p>
      <w:r>
        <w:t xml:space="preserve">Similarity Index: 0.2222</w:t>
      </w:r>
    </w:p>
    <w:p>
      <w:r>
        <w:t xml:space="preserve">Threshold: 0.7</w:t>
      </w:r>
    </w:p>
    <w:p>
      <w:r>
        <w:t xml:space="preserve">Threshold Result: passed</w:t>
      </w:r>
    </w:p>
    <w:p>
      <w:r>
        <w:t xml:space="preserve">Similarity Type: orthographic</w:t>
      </w:r>
    </w:p>
    <w:p>
      <w:r>
        <w:t xml:space="preserve">Interpretation: Product name 'Complete Review Demo' has 22.22% similarity to INN 'ceftriaxone'. Rule result: pass. Evaluated against naming guidance: Structured Dossier Review SOP. Closure Requirements.Closure Requirements
A review cannot be closed as complete if a mandatory workflow stage is missing. The final report must include all workflow items that violate the rules, not only selected highlights. sop workflow review checklist regulatory Re...</w:t>
      </w:r>
    </w:p>
    <w:p>
      <w:r>
        <w:t xml:space="preserve">Flag Status: acceptable_naming</w:t>
      </w:r>
    </w:p>
    <w:p>
      <w:r>
        <w:t xml:space="preserve">Rule Consequence: No blocking INN naming issue was identified.</w:t>
      </w:r>
    </w:p>
    <w:p>
      <w:pPr>
        <w:pStyle w:val="Heading1"/>
      </w:pPr>
      <w:r>
        <w:t xml:space="preserve">Section-By-Section Technical Review</w:t>
      </w:r>
    </w:p>
    <w:p>
      <w:pPr>
        <w:pStyle w:val="Heading2"/>
      </w:pPr>
      <w:r>
        <w:t xml:space="preserve">Generic Review-Specific Assessment</w:t>
      </w:r>
    </w:p>
    <w:p>
      <w:r>
        <w:t xml:space="preserve">Status: partial</w:t>
      </w:r>
    </w:p>
    <w:p>
      <w:r>
        <w:t xml:space="preserve">Baseline available: Yes</w:t>
      </w:r>
    </w:p>
    <w:p>
      <w:r>
        <w:t xml:space="preserve">Baseline verified: Yes</w:t>
      </w:r>
    </w:p>
    <w:p>
      <w:r>
        <w:t xml:space="preserve">Baseline reference: ceftriaxone reference</w:t>
      </w:r>
    </w:p>
    <w:p>
      <w:r>
        <w:t xml:space="preserve">Verified external URLs: https://products.mhra.gov.uk/search/?query=ceftriaxone, https://products.mhra.gov.uk/?q=ceftriaxone, https://www.ema.europa.eu/en/search?search_api_fulltext=ceftriaxone, https://www.accessdata.fda.gov/scripts/cder/daf/index.cfm?event=BasicSearch.process&amp;searchterm=ceftriaxone, https://dailymed.nlm.nih.gov/dailymed/search.cfm?query=ceftriaxone, https://www.medicines.org.uk/emc/product/15077/smpc</w:t>
      </w:r>
    </w:p>
    <w:p>
      <w:r>
        <w:t xml:space="preserve">- Note: Generic workflow requires comparison of packaging and patient information against innovator reference material when provided.</w:t>
      </w:r>
    </w:p>
    <w:p>
      <w:r>
        <w:t xml:space="preserve">- Note: Generic baseline comparison used ceftriaxone reference through MCP patient-information tools with overall alignment not_aligned.</w:t>
      </w:r>
    </w:p>
    <w:p>
      <w:r>
        <w:t xml:space="preserve">- Note: Example comparison classified the section as non_compliant.</w:t>
      </w:r>
    </w:p>
    <w:p>
      <w:pPr>
        <w:pStyle w:val="Heading1"/>
      </w:pPr>
      <w:r>
        <w:t xml:space="preserve">AMR Stewardship Review</w:t>
      </w:r>
    </w:p>
    <w:p>
      <w:r>
        <w:t xml:space="preserve">Applicable: True</w:t>
      </w:r>
    </w:p>
    <w:p>
      <w:r>
        <w:t xml:space="preserve">AWaRe Category: watch</w:t>
      </w:r>
    </w:p>
    <w:p>
      <w:r>
        <w:t xml:space="preserve">Fast Track Status: False</w:t>
      </w:r>
    </w:p>
    <w:p>
      <w:r>
        <w:t xml:space="preserve">Authorization Control: restricted_authorization</w:t>
      </w:r>
    </w:p>
    <w:p>
      <w:r>
        <w:t xml:space="preserve">Stewardship Rule Application: Watch-category antibiotic requires stewardship review for resistance risk. High similarity to existing Watch comparator cefixime plus rising GLASS resistance supports restricted authorization.</w:t>
      </w:r>
    </w:p>
    <w:p>
      <w:r>
        <w:t xml:space="preserve">- AMR finding: MCP AWaRe reference resolved ceftriaxone as Unknown.</w:t>
      </w:r>
    </w:p>
    <w:p>
      <w:r>
        <w:t xml:space="preserve">- AMR finding: MCP antimicrobial similarity returned stewardship flag not_applicable.</w:t>
      </w:r>
    </w:p>
    <w:p>
      <w:r>
        <w:t xml:space="preserve">- AMR finding: RxNorm snapshot rxnorm_snapshot_2026-04-11 normalized product identity to ceftriaxone.</w:t>
      </w:r>
    </w:p>
    <w:p>
      <w:r>
        <w:t xml:space="preserve">- AMR finding: WHO AWaRe snapshot who_aware_snapshot_2026-04-11 resolved ceftriaxone as watch.</w:t>
      </w:r>
    </w:p>
    <w:p>
      <w:r>
        <w:t xml:space="preserve">- AMR finding: WHO GLASS snapshot who_glass_snapshot_2026-04-11 resolved ceftriaxone trend as rising.</w:t>
      </w:r>
    </w:p>
    <w:p>
      <w:r>
        <w:t xml:space="preserve">- AMR finding: Chemistry snapshot chemistry_similarity_snapshot_2026-04-11 resolved Watch similarity as high against comparator cefixime.</w:t>
      </w:r>
    </w:p>
    <w:p>
      <w:r>
        <w:t xml:space="preserve">- AMR finding: Chemistry snapshot provided active moiety ceftriaxone, parent compound ceftriaxone, PubChem CID 5479530, ChEMBL CHEMBL1200690, and UniChem UC5479530.</w:t>
      </w:r>
    </w:p>
    <w:p>
      <w:pPr>
        <w:pStyle w:val="Heading1"/>
      </w:pPr>
      <w:r>
        <w:t xml:space="preserve">Findings Register</w:t>
      </w:r>
    </w:p>
    <w:p>
      <w:r>
        <w:t xml:space="preserve">- [MINOR] Administrative completeness review: No proof of payment was detected in the administrative material. | Rule: Missing proof of payment where required = violation | Location: Application Form and Administrative Information | Recommendation: Confirm the payment receipt or fee evidence is included where required.</w:t>
      </w:r>
    </w:p>
    <w:p>
      <w:r>
        <w:t xml:space="preserve">- [MAJOR] Section-by-section technical review: Current patient information does not align closely with the innovator reference for indications. | Rule: Generic review must compare dossier patient information against innovator reference materials when provided | Location: indications | Recommendation: Align the generic leaflet wording for indications more closely with the innovator reference or justify the difference.</w:t>
      </w:r>
    </w:p>
    <w:p>
      <w:r>
        <w:t xml:space="preserve">- [MAJOR] Section-by-section technical review: Current patient information does not align closely with the innovator reference for dosage. | Rule: Generic review must compare dossier patient information against innovator reference materials when provided | Location: dosage | Recommendation: Align the generic leaflet wording for dosage more closely with the innovator reference or justify the difference.</w:t>
      </w:r>
    </w:p>
    <w:p>
      <w:r>
        <w:t xml:space="preserve">- [CRITICAL] Section-by-section technical review: Current patient information does not align closely with the innovator reference for contraindications. | Rule: Generic review must compare dossier patient information against innovator reference materials when provided | Location: contraindications | Recommendation: Align the generic leaflet wording for contraindications more closely with the innovator reference or justify the difference.</w:t>
      </w:r>
    </w:p>
    <w:p>
      <w:r>
        <w:t xml:space="preserve">- [CRITICAL] Section-by-section technical review: Current patient information does not align closely with the innovator reference for warnings. | Rule: Generic review must compare dossier patient information against innovator reference materials when provided | Location: warnings | Recommendation: Align the generic leaflet wording for warnings more closely with the innovator reference or justify the difference.</w:t>
      </w:r>
    </w:p>
    <w:p>
      <w:r>
        <w:t xml:space="preserve">- [MAJOR] Section-by-section technical review: Current patient information does not align closely with the innovator reference for side_effects. | Rule: Generic review must compare dossier patient information against innovator reference materials when provided | Location: side_effects | Recommendation: Align the generic leaflet wording for side_effects more closely with the innovator reference or justify the difference.</w:t>
      </w:r>
    </w:p>
    <w:p>
      <w:r>
        <w:t xml:space="preserve">- [MAJOR] Section-by-section technical review: Current patient information does not align closely with the innovator reference for storage. | Rule: Generic review must compare dossier patient information against innovator reference materials when provided | Location: storage | Recommendation: Align the generic leaflet wording for storage more closely with the innovator reference or justify the difference.</w:t>
      </w:r>
    </w:p>
    <w:p>
      <w:r>
        <w:t xml:space="preserve">- [MAJOR] Section-by-section technical review: The current section does not adequately cover completeness.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safety wording.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contraindications.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Section-by-section technical review: The current section does not adequately cover dosage clarity.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AMR stewardship review using AWaRe rules: AMR stewardship check identified missing warning or stewardship justification. | Rule: AMR warning and stewardship justification must be present for antimicrobial submissions. | Location: AMR Stewardship | Recommendation: Provide complete AMR warning statements and stewardship justification.</w:t>
      </w:r>
    </w:p>
    <w:p>
      <w:r>
        <w:t xml:space="preserve">- [MAJOR] AMR stewardship review using AWaRe rules: AWaRe-controlled antimicrobial requires restricted authorization or stewardship caution. | Rule: Watch / Reserve stewardship-sensitive products should trigger stewardship caution | Location: AMR Stewardship Narrative | Recommendation: Document the stewardship restriction and reviewer control measures.</w:t>
      </w:r>
    </w:p>
    <w:p>
      <w:pPr>
        <w:pStyle w:val="Heading1"/>
      </w:pPr>
      <w:r>
        <w:t xml:space="preserve">Severity Classification</w:t>
      </w:r>
    </w:p>
    <w:p>
      <w:r>
        <w:t xml:space="preserve">- Critical: 4</w:t>
      </w:r>
    </w:p>
    <w:p>
      <w:r>
        <w:t xml:space="preserve">- Major: 8</w:t>
      </w:r>
    </w:p>
    <w:p>
      <w:r>
        <w:t xml:space="preserve">- Minor: 1</w:t>
      </w:r>
    </w:p>
    <w:p>
      <w:r>
        <w:t xml:space="preserve">- Advisory: 0</w:t>
      </w:r>
    </w:p>
    <w:p>
      <w:pPr>
        <w:pStyle w:val="Heading1"/>
      </w:pPr>
      <w:r>
        <w:t xml:space="preserve">Findings Summary Tables</w:t>
      </w:r>
    </w:p>
    <w:p>
      <w:r>
        <w:t xml:space="preserve">Administrative</w:t>
      </w:r>
    </w:p>
    <w:p>
      <w:r>
        <w:t xml:space="preserve">- Severity: minor | Violated rule: Missing proof of payment where required = violation | Evidence reference: 1 | Recommendation: Confirm the payment receipt or fee evidence is included where required.</w:t>
      </w:r>
    </w:p>
    <w:p>
      <w:r>
        <w:t xml:space="preserve">Naming / INN</w:t>
      </w:r>
    </w:p>
    <w:p>
      <w:r>
        <w:t xml:space="preserve">- Severity: none | Violated rule: No recorded violations in this area | Evidence reference: n/a | Recommendation: Continue standard review monitoring</w:t>
      </w:r>
    </w:p>
    <w:p>
      <w:r>
        <w:t xml:space="preserve">Quality</w:t>
      </w:r>
    </w:p>
    <w:p>
      <w:r>
        <w:t xml:space="preserve">- Severity: major | Violated rule: Generic review must compare dossier patient information against innovator reference materials when provided | Evidence reference: 1 | Recommendation: Align the generic leaflet wording for indications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dosage more closely with the innovator reference or justify the difference.</w:t>
      </w:r>
    </w:p>
    <w:p>
      <w:r>
        <w:t xml:space="preserve">- Severity: critical | Violated rule: Generic review must compare dossier patient information against innovator reference materials when provided | Evidence reference: 1 | Recommendation: Align the generic leaflet wording for contraindications more closely with the innovator reference or justify the difference.</w:t>
      </w:r>
    </w:p>
    <w:p>
      <w:r>
        <w:t xml:space="preserve">- Severity: critical | Violated rule: Generic review must compare dossier patient information against innovator reference materials when provided | Evidence reference: 1 | Recommendation: Align the generic leaflet wording for warnings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side_effects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storage more closely with the innovator reference or justify the difference.</w:t>
      </w:r>
    </w:p>
    <w:p>
      <w:r>
        <w:t xml:space="preserve">GMP</w:t>
      </w:r>
    </w:p>
    <w:p>
      <w:r>
        <w:t xml:space="preserve">- Severity: none | Violated rule: No recorded violations in this area | Evidence reference: n/a | Recommendation: Continue standard review monitoring</w:t>
      </w:r>
    </w:p>
    <w:p>
      <w:r>
        <w:t xml:space="preserve">Clinical / Evidence</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AMR Stewardship</w:t>
      </w:r>
    </w:p>
    <w:p>
      <w:r>
        <w:t xml:space="preserve">- Severity: major | Violated rule: AMR warning and stewardship justification must be present for antimicrobial submissions. | Evidence reference: 2 | Recommendation: Provide complete AMR warning statements and stewardship justification.</w:t>
      </w:r>
    </w:p>
    <w:p>
      <w:r>
        <w:t xml:space="preserve">- Severity: major | Violated rule: Watch / Reserve stewardship-sensitive products should trigger stewardship caution | Evidence reference: 2 | Recommendation: Document the stewardship restriction and reviewer control measures.</w:t>
      </w:r>
    </w:p>
    <w:p>
      <w:r>
        <w:t xml:space="preserve">Consistency Checks</w:t>
      </w:r>
    </w:p>
    <w:p>
      <w:r>
        <w:t xml:space="preserve">- Severity: none | Violated rule: No recorded violations in this area | Evidence reference: n/a | Recommendation: Continue standard review monitoring</w:t>
      </w:r>
    </w:p>
    <w:p>
      <w:pPr>
        <w:pStyle w:val="Heading1"/>
      </w:pPr>
      <w:r>
        <w:t xml:space="preserve">Cross-Section Consistency Review</w:t>
      </w:r>
    </w:p>
    <w:p>
      <w:r>
        <w:t xml:space="preserve">Status: consistent</w:t>
      </w:r>
    </w:p>
    <w:p>
      <w:r>
        <w:t xml:space="preserve">- No cross-section consistency findings were detected.</w:t>
      </w:r>
    </w:p>
    <w:p>
      <w:pPr>
        <w:pStyle w:val="Heading1"/>
      </w:pPr>
      <w:r>
        <w:t xml:space="preserve">Review Completeness Confirmation</w:t>
      </w:r>
    </w:p>
    <w:p>
      <w:r>
        <w:t xml:space="preserve">Status: review_incomplete</w:t>
      </w:r>
    </w:p>
    <w:p>
      <w:pPr>
        <w:pStyle w:val="Heading2"/>
      </w:pPr>
      <w:r>
        <w:t xml:space="preserve">Mandatory workflow steps:</w:t>
      </w:r>
    </w:p>
    <w:p>
      <w:r>
        <w:t xml:space="preserve">- Data Quality And Vision Extraction Check: Yes</w:t>
      </w:r>
    </w:p>
    <w:p>
      <w:r>
        <w:t xml:space="preserve">- Submission Intake And Familiarization: Yes</w:t>
      </w:r>
    </w:p>
    <w:p>
      <w:r>
        <w:t xml:space="preserve">- Administrative Completeness Review: Yes</w:t>
      </w:r>
    </w:p>
    <w:p>
      <w:r>
        <w:t xml:space="preserve">- Structural Dossier Mapping: No</w:t>
      </w:r>
    </w:p>
    <w:p>
      <w:r>
        <w:t xml:space="preserve">- Applicable Rules Identification: Yes</w:t>
      </w:r>
    </w:p>
    <w:p>
      <w:r>
        <w:t xml:space="preserve">- Who Inn Similarity Review: Yes</w:t>
      </w:r>
    </w:p>
    <w:p>
      <w:r>
        <w:t xml:space="preserve">- Section By Section Technical Review: No</w:t>
      </w:r>
    </w:p>
    <w:p>
      <w:r>
        <w:t xml:space="preserve">- Amr Stewardship Review: Yes</w:t>
      </w:r>
    </w:p>
    <w:p>
      <w:r>
        <w:t xml:space="preserve">- Findings Register: Yes</w:t>
      </w:r>
    </w:p>
    <w:p>
      <w:r>
        <w:t xml:space="preserve">- Severity Classification: Yes</w:t>
      </w:r>
    </w:p>
    <w:p>
      <w:r>
        <w:t xml:space="preserve">- Cross Section Consistency Review: Yes</w:t>
      </w:r>
    </w:p>
    <w:p>
      <w:pPr>
        <w:pStyle w:val="Heading2"/>
      </w:pPr>
      <w:r>
        <w:t xml:space="preserve">Completeness notes:</w:t>
      </w:r>
    </w:p>
    <w:p>
      <w:r>
        <w:t xml:space="preserve">- AMR stewardship review was completed using WHO AWaRe and the source-backed stewardship policy path.</w:t>
      </w:r>
    </w:p>
    <w:p>
      <w:r>
        <w:t xml:space="preserve">- Generic workflow requires comparison of packaging and patient information against innovator reference material when provided.</w:t>
      </w:r>
    </w:p>
    <w:p>
      <w:r>
        <w:t xml:space="preserve">- Generic baseline comparison used ceftriaxone reference through MCP patient-information tools with overall alignment not_aligned.</w:t>
      </w:r>
    </w:p>
    <w:p>
      <w:r>
        <w:t xml:space="preserve">- Example comparison classified the section as non_compliant.</w:t>
      </w:r>
    </w:p>
    <w:p>
      <w:pPr>
        <w:pStyle w:val="Heading1"/>
      </w:pPr>
      <w:r>
        <w:t xml:space="preserve">Overall Judgment</w:t>
      </w:r>
    </w:p>
    <w:p>
      <w:r>
        <w:t xml:space="preserve">Final verdict: escalate_for_higher_review</w:t>
      </w:r>
    </w:p>
    <w:p>
      <w:r>
        <w:t xml:space="preserve">System recommendation: None</w:t>
      </w:r>
    </w:p>
    <w:p>
      <w:r>
        <w:t xml:space="preserve">Authorization control: standard_authorization</w:t>
      </w:r>
    </w:p>
    <w:p>
      <w:r>
        <w:t xml:space="preserve">Justification: The final verdict reflects the full structured review, including naming safety, technical adequacy, stewardship policy, and recorded rule violations.</w:t>
      </w:r>
    </w:p>
    <w:p>
      <w:r>
        <w:t xml:space="preserve">Escalation needed: Yes</w:t>
      </w:r>
    </w:p>
    <w:p>
      <w:pPr>
        <w:pStyle w:val="Heading2"/>
      </w:pPr>
      <w:r>
        <w:t xml:space="preserve">Blocking issues:</w:t>
      </w:r>
    </w:p>
    <w:p>
      <w:r>
        <w:t xml:space="preserve">- Current patient information does not align closely with the innovator reference for indications.</w:t>
      </w:r>
    </w:p>
    <w:p>
      <w:r>
        <w:t xml:space="preserve">- Current patient information does not align closely with the innovator reference for dosage.</w:t>
      </w:r>
    </w:p>
    <w:p>
      <w:r>
        <w:t xml:space="preserve">- Current patient information does not align closely with the innovator reference for contraindications.</w:t>
      </w:r>
    </w:p>
    <w:p>
      <w:r>
        <w:t xml:space="preserve">- Current patient information does not align closely with the innovator reference for warnings.</w:t>
      </w:r>
    </w:p>
    <w:p>
      <w:r>
        <w:t xml:space="preserve">- Current patient information does not align closely with the innovator reference for side_effects.</w:t>
      </w:r>
    </w:p>
    <w:p>
      <w:r>
        <w:t xml:space="preserve">- Current patient information does not align closely with the innovator reference for storage.</w:t>
      </w:r>
    </w:p>
    <w:p>
      <w:r>
        <w:t xml:space="preserve">- The current section does not adequately cover completeness.</w:t>
      </w:r>
    </w:p>
    <w:p>
      <w:r>
        <w:t xml:space="preserve">- The current section does not adequately cover safety wording.</w:t>
      </w:r>
    </w:p>
    <w:p>
      <w:r>
        <w:t xml:space="preserve">- The current section does not adequately cover contraindications.</w:t>
      </w:r>
    </w:p>
    <w:p>
      <w:r>
        <w:t xml:space="preserve">- The current section does not adequately cover dosage clarity.</w:t>
      </w:r>
    </w:p>
    <w:p>
      <w:r>
        <w:t xml:space="preserve">- AMR stewardship check identified missing warning or stewardship justification.</w:t>
      </w:r>
    </w:p>
    <w:p>
      <w:r>
        <w:t xml:space="preserve">- AWaRe-controlled antimicrobial requires restricted authorization or stewardship caution.</w:t>
      </w:r>
    </w:p>
    <w:p>
      <w:pPr>
        <w:pStyle w:val="Heading1"/>
      </w:pPr>
      <w:r>
        <w:t xml:space="preserve">Reviewer Narrative Summary</w:t>
      </w:r>
    </w:p>
    <w:p>
      <w:r>
        <w:t xml:space="preserve">Here is a practical guide based on the retrieved reviewer guidance: 1. Reviewer How-To Tutorials - How To Ask For Guidance And SOP Help: Reviewer How-To Tutorials. How To Ask For Guidance And SOP Help.How To Ask For Guidance And SOP Help Reviewers can ask natural questions such as show me the SOPs for dossier review, what gui... 2. Structured Dossier Review SOP - Title: Structured Dossier Review SOP 3. Structured Dossier Review SOP - Closure Requirements: Structured Dossier Review SOP. Closure Requirements.Closure Requirements A review cannot be closed as complete if a mandatory workflow stage is missing. The final report must include all wor... You can ask me to turn this into a shorter checklist, a reviewer training note, or a step-by-step tutorial for a specific review stage. ### SOP Progress (Pre-Market Authorization) | Step | Review Stage | Status | | --- | --- | --- | | 1 | Data quality and vision extraction check | Completed | | 2 | Submission intake and familiarization | Completed | | 3 | Administrative completeness review | Completed | | 4 | Structural dossier mapping | Completed | | 5 | Applicable rules and requirements identification | Completed | | 6 | WHO INN similarity review | Completed | | 7 | Section-by-section technical review | Completed | | 8 | AMR stewardship review using AWaRe rules | Completed | | 9 | Identification and recording of findings | Completed | | 10 | Severity classification | Completed | | 11 | Cross-section consistency review | Completed | | 12 | Review completeness confirmation | Completed | | 13 | Overall judgment | Completed | ![SOP flow illustration](/sop-flow.svg)</w:t>
      </w:r>
    </w:p>
    <w:p>
      <w:pPr>
        <w:pStyle w:val="Heading1"/>
      </w:pPr>
      <w:r>
        <w:t xml:space="preserve">Evidence Citations</w:t>
      </w:r>
    </w:p>
    <w:p>
      <w:r>
        <w:t xml:space="preserve">- knowledge_wiki:reviewer-how-to-tutorials:2:c1 | Reviewer How-To Tutorials - How To Ask For Guidance And SOP Help | Reviewer How-To Tutorials. How To Ask For Guidance And SOP Help.How To Ask For Guidance And SOP Help Reviewers can ask natural questions such as show me the SOPs for dossier review, what guidance applies here, or explain...</w:t>
      </w:r>
    </w:p>
    <w:p>
      <w:r>
        <w:t xml:space="preserve">- knowledge_wiki:structured-dossier-review-sop:title | Structured Dossier Review SOP - Title | Structured Dossier Review SOP</w:t>
      </w:r>
    </w:p>
    <w:p>
      <w:r>
        <w:t xml:space="preserve">- knowledge_wiki:structured-dossier-review-sop:3:c1 | Structured Dossier Review SOP - Closure Requirements | Structured Dossier Review SOP. Closure Requirements.Closure Requirements A review cannot be closed as complete if a mandatory workflow stage is missing. The final report must include all workflow items that violate the r...</w:t>
      </w:r>
    </w:p>
    <w:p>
      <w:r>
        <w:t xml:space="preserve">- knowledge_wiki:structured-dossier-review-sop:2:c1 | Structured Dossier Review SOP - Mandatory Rule Checks | Structured Dossier Review SOP. Mandatory Rule Checks.Mandatory Rule Checks WHO INN similarity review must always be completed and reported. Antimicrobial dossiers must trigger AWaRe-based stewardship review. Every violat...</w:t>
      </w:r>
    </w:p>
    <w:p>
      <w:pPr>
        <w:pStyle w:val="Heading1"/>
      </w:pPr>
      <w:r>
        <w:t xml:space="preserve">Decision Log</w:t>
      </w:r>
    </w:p>
    <w:p>
      <w:r>
        <w:t xml:space="preserve">- Rule: SOP-0001 | Tool: retrieval + rule evaluation | Evidence: E2E-COMPLETE-20260508_114949:m1_application_admin | Result: query | Action: pending</w:t>
      </w:r>
    </w:p>
    <w:p>
      <w:r>
        <w:t xml:space="preserve">- Rule: SOP-0002 | Tool: retrieval + rule evaluation | Evidence: E2E-COMPLETE-20260508_114949:m1_application_admin | Result: query | Action: pending</w:t>
      </w:r>
    </w:p>
    <w:p>
      <w:r>
        <w:t xml:space="preserve">- Rule: SOP-0003 | Tool: retrieval + rule evaluation | Evidence: E2E-COMPLETE-20260508_114949:m1_application_admin | Result: query | Action: pending</w:t>
      </w:r>
    </w:p>
    <w:p>
      <w:r>
        <w:t xml:space="preserve">- Rule: SOP-0004 | Tool: retrieval + rule evaluation | Evidence: E2E-COMPLETE-20260508_114949:m1_application_admin | Result: query | Action: pending</w:t>
      </w:r>
    </w:p>
    <w:p>
      <w:r>
        <w:t xml:space="preserve">- Rule: SOP-0005 | Tool: retrieval + rule evaluation | Evidence: E2E-COMPLETE-20260508_114949:m1_application_admin | Result: query | Action: pending</w:t>
      </w:r>
    </w:p>
    <w:p>
      <w:r>
        <w:t xml:space="preserve">- Rule: SOP-0006 | Tool: retrieval + rule evaluation | Evidence: E2E-COMPLETE-20260508_114949:m1_application_admin | Result: query | Action: pending</w:t>
      </w:r>
    </w:p>
    <w:p>
      <w:r>
        <w:t xml:space="preserve">- Rule: SOP-0007 | Tool: retrieval + rule evaluation | Evidence: E2E-COMPLETE-20260508_114949:m1_application_admin | Result: query | Action: pending</w:t>
      </w:r>
    </w:p>
    <w:p>
      <w:r>
        <w:t xml:space="preserve">- Rule: SOP-0008 | Tool: retrieval + rule evaluation | Evidence: E2E-COMPLETE-20260508_114949:m1_application_admin | Result: query | Action: pending</w:t>
      </w:r>
    </w:p>
    <w:p>
      <w:r>
        <w:t xml:space="preserve">- Rule: SOP-0009 | Tool: retrieval + rule evaluation | Evidence: E2E-COMPLETE-20260508_114949:m1_application_admin | Result: query | Action: pending</w:t>
      </w:r>
    </w:p>
    <w:p>
      <w:r>
        <w:t xml:space="preserve">- Rule: SOP-0010 | Tool: retrieval + rule evaluation | Evidence: E2E-COMPLETE-20260508_114949:m1_application_admin | Result: query | Action: pending</w:t>
      </w:r>
    </w:p>
    <w:p>
      <w:r>
        <w:t xml:space="preserve">- Rule: SOP-0011 | Tool: retrieval + rule evaluation | Evidence: E2E-COMPLETE-20260508_114949:m1_application_admin | Result: query | Action: pending</w:t>
      </w:r>
    </w:p>
    <w:p>
      <w:r>
        <w:t xml:space="preserve">- Rule: SOP-0012 | Tool: retrieval + rule evaluation | Evidence: E2E-COMPLETE-20260508_114949:m5_bioequivalence | Result: query | Action: pending</w:t>
      </w:r>
    </w:p>
    <w:p>
      <w:r>
        <w:t xml:space="preserve">- Rule: SOP-0013 | Tool: retrieval + rule evaluation | Evidence: E2E-COMPLETE-20260508_114949:m5_bioequivalence | Result: query | Action: pending</w:t>
      </w:r>
    </w:p>
    <w:p>
      <w:pPr>
        <w:pStyle w:val="Heading1"/>
      </w:pPr>
      <w:r>
        <w:t xml:space="preserve">Verification Summary</w:t>
      </w:r>
    </w:p>
    <w:p>
      <w:r>
        <w:t xml:space="preserve">Grounded claim rate: unknown</w:t>
      </w:r>
    </w:p>
    <w:p>
      <w:r>
        <w:t xml:space="preserve">Verifier passed: False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Heading3">
    <w:name w:val="heading 3"/>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Dossier Review AI Assistant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Pre-Market Authorization Review Report</dc:title>
  <dc:creator>Dossier Review AI Assistant</dc:creator>
</cp:coreProperties>
</file>