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SOP Workflow Demo Report - DEMO-WF-20260421-WATCH</w:t>
      </w:r>
    </w:p>
    <w:p>
      <w:pPr>
        <w:pStyle w:val="Heading1"/>
      </w:pPr>
      <w:r>
        <w:t xml:space="preserve">Submission Summary</w:t>
      </w:r>
    </w:p>
    <w:p>
      <w:r>
        <w:t xml:space="preserve">Dossier Id: DEMO-WF-20260421-WATCH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Workflow Applicant</w:t>
      </w:r>
    </w:p>
    <w:p>
      <w:r>
        <w:t xml:space="preserve">Product Name: Watch Review Demo</w:t>
      </w:r>
    </w:p>
    <w:p>
      <w:r>
        <w:t xml:space="preserve">Active Ingredient: levofloxacin</w:t>
      </w:r>
    </w:p>
    <w:p>
      <w:r>
        <w:t xml:space="preserve">Dosage Form: unknown</w:t>
      </w:r>
    </w:p>
    <w:p>
      <w:r>
        <w:t xml:space="preserve">Strength: unknown</w:t>
      </w:r>
    </w:p>
    <w:p>
      <w:r>
        <w:t xml:space="preserve">Jurisdiction: Uganda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</w:t>
      </w:r>
    </w:p>
    <w:p>
      <w:r>
        <w:t xml:space="preserve">- No structural dossier violations were detected.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r>
        <w:t xml:space="preserve">- WHO AWaRe stewardship rules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Watch Review Demo</w:t>
      </w:r>
    </w:p>
    <w:p>
      <w:r>
        <w:t xml:space="preserve">Who Inn: macrobid</w:t>
      </w:r>
    </w:p>
    <w:p>
      <w:r>
        <w:t xml:space="preserve">Similarity Index: 0.6397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No INN infringement detected for 'Watch Review Demo'.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r>
        <w:t xml:space="preserve">- Application Form and Administrative Information: status=compliant, presence=present, length=length_ok, correctness=correct, critical=True</w:t>
      </w:r>
    </w:p>
    <w:p>
      <w:r>
        <w:t xml:space="preserve">- Manufacturer and GMP Evidence: status=compliant, presence=present, length=length_ok, correctness=correct, critical=True</w:t>
      </w:r>
    </w:p>
    <w:p>
      <w:r>
        <w:t xml:space="preserve">- Product Information and Naming: status=compliant, presence=present, length=length_ok, correctness=correct, critical=True</w:t>
      </w:r>
    </w:p>
    <w:p>
      <w:r>
        <w:t xml:space="preserve">- Quality Overall Summary: status=compliant, presence=present, length=length_ok, correctness=correct, critical=True</w:t>
      </w:r>
    </w:p>
    <w:p>
      <w:r>
        <w:t xml:space="preserve">- Clinical Overview and Benefit-Risk Summary: status=compliant, presence=present, length=length_ok, correctness=correct, critical=True</w:t>
      </w:r>
    </w:p>
    <w:p>
      <w:r>
        <w:t xml:space="preserve">- API Quality and Control Strategy: status=compliant, presence=present, length=length_ok, correctness=correct, critical=True</w:t>
      </w:r>
    </w:p>
    <w:p>
      <w:r>
        <w:t xml:space="preserve">- FPP Manufacturing Process and Controls: status=compliant, presence=present, length=length_ok, correctness=correct, critical=True</w:t>
      </w:r>
    </w:p>
    <w:p>
      <w:r>
        <w:t xml:space="preserve">- Stability and Shelf-Life Justification: status=compliant, presence=present, length=length_ok, correctness=correct, critical=True</w:t>
      </w:r>
    </w:p>
    <w:p>
      <w:r>
        <w:t xml:space="preserve">- Nonclinical Study Summary: status=compliant, presence=present, length=length_ok, correctness=correct, critical=False</w:t>
      </w:r>
    </w:p>
    <w:p>
      <w:r>
        <w:t xml:space="preserve">- Tabular Listing of Clinical Studies: status=compliant, presence=present, length=length_ok, correctness=correct, critical=True</w:t>
      </w:r>
    </w:p>
    <w:p>
      <w:r>
        <w:t xml:space="preserve">- Pivotal Clinical Trial Reports: status=compliant, presence=present, length=length_ok, correctness=correct, critical=True</w:t>
      </w:r>
    </w:p>
    <w:p>
      <w:r>
        <w:t xml:space="preserve">- Biopharmaceutics and Bioequivalence Evidence: status=compliant, presence=present, length=length_ok, correctness=correct, critical=False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baseline_not_provided</w:t>
      </w:r>
    </w:p>
    <w:p>
      <w:r>
        <w:t xml:space="preserve">Baseline available: No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No innovator baseline reference material was supplied, so wording-equivalence checks were not enforced.</w:t>
      </w:r>
    </w:p>
    <w:p>
      <w:pPr>
        <w:pStyle w:val="Heading1"/>
      </w:pPr>
      <w:r>
        <w:t xml:space="preserve">AMR Stewardship Review</w:t>
      </w:r>
    </w:p>
    <w:p>
      <w:r>
        <w:t xml:space="preserve">Applicable: True</w:t>
      </w:r>
    </w:p>
    <w:p>
      <w:r>
        <w:t xml:space="preserve">AWaRe Category: watch</w:t>
      </w:r>
    </w:p>
    <w:p>
      <w:r>
        <w:t xml:space="preserve">Fast Track Status: False</w:t>
      </w:r>
    </w:p>
    <w:p>
      <w:r>
        <w:t xml:space="preserve">Authorization Control: restricted_authorization</w:t>
      </w:r>
    </w:p>
    <w:p>
      <w:r>
        <w:t xml:space="preserve">Stewardship Rule Application: Watch-category antibiotic requires stewardship review for resistance risk. High similarity to existing Watch comparator ciprofloxacin plus rising GLASS resistance supports restricted authorization.</w:t>
      </w:r>
    </w:p>
    <w:p>
      <w:r>
        <w:t xml:space="preserve">- AMR finding: RxNorm snapshot rxnorm_snapshot_2026-04-11 normalized product identity to levofloxacin.</w:t>
      </w:r>
    </w:p>
    <w:p>
      <w:r>
        <w:t xml:space="preserve">- AMR finding: WHO AWaRe snapshot who_aware_snapshot_2026-04-11 resolved levofloxacin as watch.</w:t>
      </w:r>
    </w:p>
    <w:p>
      <w:r>
        <w:t xml:space="preserve">- AMR finding: WHO GLASS snapshot who_glass_snapshot_2026-04-11 resolved levofloxacin trend as rising.</w:t>
      </w:r>
    </w:p>
    <w:p>
      <w:r>
        <w:t xml:space="preserve">- AMR finding: Chemistry snapshot chemistry_similarity_snapshot_2026-04-11 resolved Watch similarity as high against comparator ciprofloxacin.</w:t>
      </w:r>
    </w:p>
    <w:p>
      <w:r>
        <w:t xml:space="preserve">- AMR finding: Chemistry snapshot provided active moiety levofloxacin, parent compound levofloxacin, PubChem CID 149096, ChEMBL CHEMBL1433, and UniChem UC149096.</w:t>
      </w:r>
    </w:p>
    <w:p>
      <w:pPr>
        <w:pStyle w:val="Heading1"/>
      </w:pPr>
      <w:r>
        <w:t xml:space="preserve">Findings Register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[MAJOR] Section-by-section technical review: Technical review identified policy information gap. | Rule: Present but inadequate section = violation | Location: Scientific dossier content | Recommendation: Provide the missing technical evidence or clarifying support.</w:t>
      </w:r>
    </w:p>
    <w:p>
      <w:r>
        <w:t xml:space="preserve">- [MAJOR] AMR stewardship review using AWaRe rules: AWaRe-controlled antimicrobial requires restricted authorization or stewardship caution. | Rule: Watch / Reserve stewardship-sensitive products should trigger stewardship caution | Location: AMR Stewardship Narrative | Recommendation: Document the stewardship restriction and reviewer control measures.</w:t>
      </w:r>
    </w:p>
    <w:p>
      <w:pPr>
        <w:pStyle w:val="Heading1"/>
      </w:pPr>
      <w:r>
        <w:t xml:space="preserve">Severity Classification</w:t>
      </w:r>
    </w:p>
    <w:p>
      <w:r>
        <w:t xml:space="preserve">- Critical: 0</w:t>
      </w:r>
    </w:p>
    <w:p>
      <w:r>
        <w:t xml:space="preserve">- Major: 2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#### Administrative
| Severity | Violated rule | Evidence reference | Recommendation |
| --- | --- | --- | --- |
| minor | Missing proof of payment where required = violation | DEMO-WF-20260421-WATCH:m1_application_admin | Confirm the payment receipt or fee evidence is included where required. |
#### Naming / INN
| Severity | Violated rule | Evidence reference | Recommendation |
| --- | --- | --- | --- |
| none | No recorded violations in this area | n/a | Continue standard review monitoring |
#### Quality
| Severity | Violated rule | Evidence reference | Recommendation |
| --- | --- | --- | --- |
| major | Present but inadequate section = violation | DEMO-WF-20260421-WATCH | Provide the missing technical evidence or clarifying support. |
#### GMP
| Severity | Violated rule | Evidence reference | Recommendation |
| --- | --- | --- | --- |
| none | No recorded violations in this area | n/a | Continue standard review monitoring |
#### Clinical / Evidence
| Severity | Violated rule | Evidence reference | Recommendation |
| --- | --- | --- | --- |
| none | No recorded violations in this area | n/a | Continue standard review monitoring |
#### AMR Stewardship
| Severity | Violated rule | Evidence reference | Recommendation |
| --- | --- | --- | --- |
| major | Watch / Reserve stewardship-sensitive products should trigger stewardship caution | DEMO-WF-20260421-WATCH:m5_bioequivalence | Document the stewardship restriction and reviewer control measures. |
#### Consistency Checks
| Severity | Violated rule | Evidence reference | Recommendation |
| --- | --- | --- | --- |
| none | No recorded violations in this area | n/a | Continue standard review monitoring |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consistent</w:t>
      </w:r>
    </w:p>
    <w:p>
      <w:r>
        <w:t xml:space="preserve">- No cross-section consistency findings were detected.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review_complete</w:t>
      </w:r>
    </w:p>
    <w:p>
      <w:pPr>
        <w:pStyle w:val="Heading2"/>
      </w:pPr>
      <w:r>
        <w:t xml:space="preserve">Mandatory workflow steps: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Yes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Yes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AMR stewardship review was completed using WHO AWaRe and the source-backed stewardship policy path.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No innovator baseline reference material was supplied, so wording-equivalence checks were not enforced.</w:t>
      </w:r>
    </w:p>
    <w:p>
      <w:pPr>
        <w:pStyle w:val="Heading1"/>
      </w:pPr>
      <w:r>
        <w:t xml:space="preserve">Overall Judgment</w:t>
      </w:r>
    </w:p>
    <w:p>
      <w:r>
        <w:t xml:space="preserve">Final verdict: requires_revision</w:t>
      </w:r>
    </w:p>
    <w:p>
      <w:r>
        <w:t xml:space="preserve">System recommendation: additional_information_required</w:t>
      </w:r>
    </w:p>
    <w:p>
      <w:r>
        <w:t xml:space="preserve">Authorization control: restricted_authorization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Technical review identified policy information gap.</w:t>
      </w:r>
    </w:p>
    <w:p>
      <w:r>
        <w:t xml:space="preserve">- AWaRe-controlled antimicrobial requires restricted authorization or stewardship caution.</w:t>
      </w:r>
    </w:p>
    <w:p>
      <w:pPr>
        <w:pStyle w:val="Heading1"/>
      </w:pPr>
      <w:r>
        <w:t xml:space="preserve">Reviewer Narrative Summary</w:t>
      </w:r>
    </w:p>
    <w:p>
      <w:r>
        <w:t xml:space="preserve">### Final Answer
### Executive Summary
The current grounded regulatory recommendation is **Additional Information Required**. The submission covers the product **Watch Review Demo** (levofloxacin), submitted by **Workflow Applicant**. The structured review found **2** unresolved requirement-level concerns.
### Naming Policy Compliance
No INN infringement detected for 'Watch Review Demo'.
### Overall Judgment
Based on the full structured review, the overall judgment is **requires revision**. This aligns with the grounded system recommendation of **Additional Information Required**.
Major unresolved issues require revision before the dossier can proceed.
**AMR Stewardship Analysis:** The product is classified under the **WATCH** category. Watch-category antibiotic requires stewardship review for resistance risk. High similarity to existing Watch comparator ciprofloxacin plus rising GLASS resistance supports restricted authorization. The ingredient was normalized to **levofloxacin** for stewardship checks. Restricted authorization is triggered because the chemistry profile shows **high** similarity to **ciprofloxacin**. Local GLASS surveillance data indicates rising resistance, which increases the stewardship risk.
### Detailed Findings
- Evidence from **Product Information and Naming** supports The proposed proprietary name for this medicinal product is Digovia, containing the active pharmaceutical ingredient digoxin. The draft Summary of Product Characteristics (SmPC), Patient Informatio.. [DEMO-WF-20260421-WATCH:m1_product_information:c1]
- Evidence from **Stability and Shelf-Life Justification** supports A comprehensive stability program has been executed to justify the proposed shelf-life and storage conditions. Data from both accelerated (40°C/75% RH for 6 months) and long-term storage conditions.. [DEMO-WF-20260421-WATCH:m3_stability:c1]
### Conclusion
**Additional Information Required** is the grounded regulatory path. The reviewer should specifically confirm the restricted authorization controls due to **high** chemical similarity to ciprofloxacin agents.
### Findings Summary Tables
#### Administrative
| Severity | Violated rule | Evidence reference | Recommendation |
| --- | --- | --- | --- |
| minor | Missing proof of payment where required = violation | DEMO-WF-20260421-WATCH:m1_application_admin | Confirm the payment receipt or fee evidence is included where required. |
#### Naming / INN
| Severity | Violated rule | Evidence reference | Recommendation |
| --- | --- | --- | --- |
| none | No recorded violations in this area | n/a | Continue standard review monitoring |
#### Quality
| Severity | Violated rule | Evidence reference | Recommendation |
| --- | --- | --- | --- |
| major | Present but inadequate section = violation | DEMO-WF-20260421-WATCH | Provide the missing technical evidence or clarifying support. |
#### GMP
| Severity | Violated rule | Evidence reference | Recommendation |
| --- | --- | --- | --- |
| none | No recorded violations in this area | n/a | Continue standard review monitoring |
#### Clinical / Evidence
| Severity | Violated rule | Evidence reference | Recommendation |
| --- | --- | --- | --- |
| none | No recorded violations in this area | n/a | Continue standard review monitoring |
#### AMR Stewardship
| Severity | Violated rule | Evidence reference | Recommendation |
| --- | --- | --- | --- |
| major | Watch / Reserve stewardship-sensitive products should trigger stewardship caution | DEMO-WF-20260421-WATCH:m5_bioequivalence | Document the stewardship restriction and reviewer control measures. |
#### Consistency Checks
| Severity | Violated rule | Evidence reference | Recommendation |
| --- | --- | --- | --- |
| none | No recorded violations in this area | n/a | Continue standard review monitoring |</w:t>
      </w:r>
    </w:p>
    <w:p>
      <w:pPr>
        <w:pStyle w:val="Heading1"/>
      </w:pPr>
      <w:r>
        <w:t xml:space="preserve">Evidence Citations</w:t>
      </w:r>
    </w:p>
    <w:p>
      <w:r>
        <w:t xml:space="preserve">- DEMO-WF-20260421-WATCH:m1_product_information:c1 | Product Information and Naming | The proposed proprietary name for this medicinal product is Digovia, containing the active pharmaceutical ingredient digoxin. The draft Summary of Product Characteristics (SmPC), Patient Information Leaflet (PIL), and pr...</w:t>
      </w:r>
    </w:p>
    <w:p>
      <w:r>
        <w:t xml:space="preserve">- DEMO-WF-20260421-WATCH:m3_stability:c1 | Stability and Shelf-Life Justification | A comprehensive stability program has been executed to justify the proposed shelf-life and storage conditions. Data from both accelerated (40°C/75% RH for 6 months) and long-term storage conditions (spanning up to 36 mon...</w:t>
      </w:r>
    </w:p>
    <w:p>
      <w:r>
        <w:t xml:space="preserve">- DEMO-WF-20260421-WATCH:m2_clinical_overview:c1 | Clinical Overview and Benefit-Risk Summary | The Clinical Overview synthesizes the efficacy and safety data supporting the use of Digovia for the treatment of bacterial skin infection. The pivotal clinical development program comprised 4 well-controlled studies. Ba...</w:t>
      </w:r>
    </w:p>
    <w:p>
      <w:r>
        <w:t xml:space="preserve">- DEMO-WF-20260421-WATCH:m2_quality_overall_summary:c1 | Quality Overall Summary | This Quality Overall Summary (QOS) provides a critical evaluation of the chemistry, manufacturing, and controls (CMC) data for digoxin. The control strategy justifies the proposed specifications for both the active subst...</w:t>
      </w:r>
    </w:p>
    <w:p>
      <w:r>
        <w:t xml:space="preserve">- DEMO-WF-20260421-WATCH:m3_api_quality:c1 | API Quality and Control Strategy | The active pharmaceutical ingredient (API) section details the complete synthesis route, starting from well-defined regulatory starting materials. Robust in-process controls and intermediate specifications ensure the con...</w:t>
      </w:r>
    </w:p>
    <w:p>
      <w:r>
        <w:t xml:space="preserve">- DEMO-WF-20260421-WATCH:m5_pivotal_trial_reports:c1 | Pivotal Clinical Trial Reports | Detailed clinical study reports (CSRs) for the pivotal efficacy trials are provided. These randomized, double-blind, actively-controlled trials evaluated the primary and secondary endpoints in accordance with the pre-spe...</w:t>
      </w:r>
    </w:p>
    <w:p>
      <w:r>
        <w:t xml:space="preserve">- DEMO-WF-20260421-WATCH:m5_trial_listing:c1 | Tabular Listing of Clinical Studies | The tabular listing of clinical studies provides a comprehensive inventory of all trials conducted in support of the proposed indication (bacterial skin infection). This includes Phase I pharmacokinetic/pharmacodynamic s...</w:t>
      </w:r>
    </w:p>
    <w:p>
      <w:r>
        <w:t xml:space="preserve">- DEMO-WF-20260421-WATCH:m4_nonclinical_summary:c1 | Nonclinical Study Summary | The nonclinical testing program evaluated the primary pharmacodynamics, secondary pharmacodynamics, safety pharmacology, and comprehensive toxicology profile of the compound. Repeat-dose toxicity studies in two mammalian...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1.0</w:t>
      </w:r>
    </w:p>
    <w:p>
      <w:r>
        <w:t xml:space="preserve">Verifier passed: True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