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Registros de Decisão Arquitetural (ADRs)</w:t>
      </w:r>
    </w:p>
    <w:p>
      <w:pPr>
        <w:spacing w:after="120"/>
      </w:pPr>
      <w:r>
        <w:rPr>
          <w:i/>
          <w:iCs/>
          <w:color w:val="555555"/>
        </w:rPr>
        <w:t xml:space="preserve">SynapseEdu — Hub Inteligente de Recursos Educacionais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240"/>
      </w:pPr>
      <w:r>
        <w:t xml:space="preserve">ADR 01: Escolha do Framework Backend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Aprovado</w:t>
      </w:r>
    </w:p>
    <w:p>
      <w:pPr>
        <w:spacing w:after="120"/>
      </w:pPr>
      <w:r>
        <w:rPr>
          <w:b/>
          <w:bCs/>
        </w:rPr>
        <w:t xml:space="preserve">Contexto: </w:t>
      </w:r>
      <w:r>
        <w:t xml:space="preserve">Precisamos de uma API RESTful robusta, com validação de dados nativa e tipagem forte em Python para mitigar erros em produção.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Escolhemos o FastAPI.</w:t>
      </w:r>
    </w:p>
    <w:p>
      <w:pPr>
        <w:spacing w:after="120"/>
      </w:pPr>
      <w:r>
        <w:rPr>
          <w:b/>
          <w:bCs/>
        </w:rPr>
        <w:t xml:space="preserve">Consequências: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Positivas: alta performance, documentação automática com Swagger integrada e uso nativo do Pydantic para validações de payloads da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Negativas: menos opinativo que o Django, exigindo que a estrutura de pastas e as conexões do ORM sejam criadas manualmente (o que é positivo para o aprendizado técnico).</w:t>
      </w:r>
    </w:p>
    <w:p>
      <w:pPr>
        <w:pStyle w:val="Heading1"/>
        <w:spacing w:after="120" w:before="240"/>
      </w:pPr>
      <w:r>
        <w:t xml:space="preserve">ADR 02: Padrão de Separação de Camadas (Models vs Schemas)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Aprovado</w:t>
      </w:r>
    </w:p>
    <w:p>
      <w:pPr>
        <w:spacing w:after="120"/>
      </w:pPr>
      <w:r>
        <w:rPr>
          <w:b/>
          <w:bCs/>
        </w:rPr>
        <w:t xml:space="preserve">Contexto: </w:t>
      </w:r>
      <w:r>
        <w:t xml:space="preserve">Ao lidar com dados vindos de requisições HTTP e dados que vão para o banco PostgreSQL, misturar as responsabilidades pode causar falhas de segurança ou envio de dados desnecessários.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Separar estritamente as classes em models.py (SQLAlchemy) e schemas.py (Pydantic).</w:t>
      </w:r>
    </w:p>
    <w:p>
      <w:pPr>
        <w:spacing w:after="120"/>
      </w:pPr>
      <w:r>
        <w:rPr>
          <w:b/>
          <w:bCs/>
        </w:rPr>
        <w:t xml:space="preserve">Consequências: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Positivas: segurança e isolamento. É possível criar um schema de entrada que impede o cliente de injetar um id arbitrário, mantendo validação estrita no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Negativas: leve duplicação na declaração de campos em ambos os arquivos, justificada pelo ganho arquitetural.</w:t>
      </w:r>
    </w:p>
    <w:p>
      <w:pPr>
        <w:pStyle w:val="Heading1"/>
        <w:spacing w:after="120" w:before="240"/>
      </w:pPr>
      <w:r>
        <w:t xml:space="preserve">ADR 03: Estratégia de Chave Primária (UUID vs Integer)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Aprovado</w:t>
      </w:r>
    </w:p>
    <w:p>
      <w:pPr>
        <w:spacing w:after="120"/>
      </w:pPr>
      <w:r>
        <w:rPr>
          <w:b/>
          <w:bCs/>
        </w:rPr>
        <w:t xml:space="preserve">Contexto: </w:t>
      </w:r>
      <w:r>
        <w:t xml:space="preserve">A tabela resources precisa de uma chave primária. As duas opções candidatas eram Integer autoincremento e UUID.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Utilizar UUID como chave primária de resources.</w:t>
      </w:r>
    </w:p>
    <w:p>
      <w:pPr>
        <w:spacing w:after="120"/>
      </w:pPr>
      <w:r>
        <w:rPr>
          <w:b/>
          <w:bCs/>
        </w:rPr>
        <w:t xml:space="preserve">Consequências: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Positivas: não expõe o volume total de registros do sistema (diferente de um id sequencial como /resources/5), não é previsível/adivinhável por terceiros e é o padrão adotado em APIs públicas modernas — reforça a percepção de maturidade técnica do projeto.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Negativas: índice ligeiramente mais pesado que um Integer e chaves menos legíveis em debugging manual; ambos aceitáveis dado o volume de dados esperado neste projeto.</w:t>
      </w:r>
    </w:p>
    <w:p>
      <w:pPr>
        <w:pStyle w:val="Heading1"/>
        <w:spacing w:after="120" w:before="240"/>
      </w:pPr>
      <w:r>
        <w:t xml:space="preserve">ADR 04: Estrutura de Armazenamento de Tags (Array vs Tabela de Relacionamento)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Aprovado</w:t>
      </w:r>
    </w:p>
    <w:p>
      <w:pPr>
        <w:spacing w:after="120"/>
      </w:pPr>
      <w:r>
        <w:rPr>
          <w:b/>
          <w:bCs/>
        </w:rPr>
        <w:t xml:space="preserve">Contexto: </w:t>
      </w:r>
      <w:r>
        <w:t xml:space="preserve">Cada recurso deve armazenar até 3 tags recomendadas, geradas manualmente ou pela IA (Smart Assist). Era necessário decidir entre um campo ARRAY nativo do PostgreSQL ou uma tabela de relacionamento N:N (resources ↔ tags).</w:t>
      </w:r>
    </w:p>
    <w:p>
      <w:pPr>
        <w:spacing w:after="120"/>
      </w:pPr>
      <w:r>
        <w:rPr>
          <w:b/>
          <w:bCs/>
        </w:rPr>
        <w:t xml:space="preserve">Decisão: </w:t>
      </w:r>
      <w:r>
        <w:t xml:space="preserve">Utilizar um campo tags do tipo ARRAY(VARCHAR) diretamente na tabela resources.</w:t>
      </w:r>
    </w:p>
    <w:p>
      <w:pPr>
        <w:spacing w:after="120"/>
      </w:pPr>
      <w:r>
        <w:rPr>
          <w:b/>
          <w:bCs/>
        </w:rPr>
        <w:t xml:space="preserve">Consequências: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Positivas: implementação mais simples e direta, suficiente para o escopo atual (não há requisito de reaproveitamento de tags entre recursos nem tela de gestão de tags).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Negativas: não impede duplicidade/variação de escrita entre tags (ex.: "Matemática" vs "matemática") e dificulta consultas agregadas por tag (ex.: "quantos recursos usam a tag X"). Caso o projeto evolua para exigir isso, a migração para uma tabela de relacionamento deve ser revisitada (ver Modelo de Dados, seção de evolução futura).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2026-07-22T15:29:53.868Z</dcterms:created>
  <dcterms:modified xsi:type="dcterms:W3CDTF">2026-07-22T15:29:53.868Z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