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41ai5mug6u3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Contrato da API (Endpoints REST)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Desenhar o contrato da API ajuda a alinhar perfeitamente o que o seu frontend (React) vai pedir e o que o seu backend (FastAPI) vai entregar.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1.091041734799"/>
        <w:gridCol w:w="2869.1323488717267"/>
        <w:gridCol w:w="1485.0283011748134"/>
        <w:gridCol w:w="1730.1300596211418"/>
        <w:gridCol w:w="1730.1300596211418"/>
        <w:tblGridChange w:id="0">
          <w:tblGrid>
            <w:gridCol w:w="1211.091041734799"/>
            <w:gridCol w:w="2869.1323488717267"/>
            <w:gridCol w:w="1485.0283011748134"/>
            <w:gridCol w:w="1730.1300596211418"/>
            <w:gridCol w:w="1730.1300596211418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 de Entrada (Request)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Esperada (Response 200)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/api/v1/resources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Listagem paginada de recursos</w:t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Query params: </w:t>
            </w:r>
            <w:r w:rsidDel="00000000" w:rsidR="00000000" w:rsidRPr="00000000">
              <w:rPr>
                <w:color w:val="18803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{ "items": [...], "total": 10, "page": 1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/api/v1/resources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Cria um novo recurso</w:t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{ "title", "description", "type", "url", "tags" }</w:t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Dados do recurso criado + </w:t>
            </w: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/api/v1/resources/smart-assist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 a IA (Gemini)</w:t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{ "title": "...", "type": "..." }</w:t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{ "description": "...", "tags": ["...", "...", "..."] }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Health Check do sistema</w:t>
            </w:r>
          </w:p>
        </w:tc>
        <w:tc>
          <w:tcPr>
            <w:tcBorders>
              <w:top w:color="c4c7c5" w:space="0" w:sz="9" w:val="single"/>
              <w:left w:color="c4c7c5" w:space="0" w:sz="9" w:val="single"/>
              <w:bottom w:color="c4c7c5" w:space="0" w:sz="9" w:val="single"/>
              <w:right w:color="c4c7c5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Nenhum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