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</w:pPr>
      <w:r>
        <w:t xml:space="preserve">Modelo C4 de Arquitetura</w:t>
      </w:r>
    </w:p>
    <w:p>
      <w:pPr>
        <w:spacing w:after="120"/>
      </w:pPr>
      <w:r>
        <w:rPr>
          <w:i/>
          <w:iCs/>
          <w:color w:val="555555"/>
        </w:rPr>
        <w:t xml:space="preserve">SynapseEdu — Hub Inteligente de Recursos Educacionais</w:t>
      </w:r>
    </w:p>
    <w:p>
      <w:pPr>
        <w:spacing w:after="120"/>
      </w:pPr>
      <w:r>
        <w:t xml:space="preserve">O modelo C4 (Context, Container, Component, Code) descreve a arquitetura do sistema em níveis crescentes de detalhe, cada um pensado para uma audiência diferente. Este documento cobre os três primeiros níveis — Code não é necessário para um projeto deste porte.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20" w:before="240"/>
      </w:pPr>
      <w:r>
        <w:t xml:space="preserve">Nível 1 — Diagrama de Contexto (System Context)</w:t>
      </w:r>
    </w:p>
    <w:p>
      <w:pPr>
        <w:spacing w:after="120"/>
      </w:pPr>
      <w:r>
        <w:t xml:space="preserve">Objetivo: mostrar o sistema como uma caixa-preta e como ele se relaciona com pessoas e sistemas externos. Audiência: qualquer pessoa, técnica ou não.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c>
          <w:tcPr>
            <w:tcW w:type="dxa" w:w="2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Ator / Sistema</w:t>
            </w:r>
          </w:p>
        </w:tc>
        <w:tc>
          <w:tcPr>
            <w:tcW w:type="dxa" w:w="2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4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Relação com o SynapseEdu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Conteudista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Pessoa (usuário)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Acessa o sistema via navegador para cadastrar, listar, editar e excluir recursos educacionais, e para usar o Smart Assist.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SynapseEdu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Sistema (o próprio)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Hub que centraliza o cadastro de materiais didáticos e usa IA para sugerir descrições e tags.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Google Gemini API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Sistema externo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Recebe título e tipo do material e retorna uma descrição sugerida e 3 tags, via chamada HTTP autenticada por API key.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Representação textual do diagrama:</w:t>
      </w:r>
    </w:p>
    <w:p>
      <w:pPr>
        <w:spacing w:after="120"/>
      </w:pPr>
      <w:r>
        <w:t xml:space="preserve">[Conteudista] --usa (navegador/HTTPS)--&gt; [SynapseEdu] --consulta (REST/HTTPS)--&gt; [Google Gemini API]</w:t>
      </w:r>
    </w:p>
    <w:p>
      <w:pPr>
        <w:pStyle w:val="Heading1"/>
        <w:spacing w:after="120" w:before="240"/>
      </w:pPr>
      <w:r>
        <w:t xml:space="preserve">Nível 2 — Diagrama de Containers</w:t>
      </w:r>
    </w:p>
    <w:p>
      <w:pPr>
        <w:spacing w:after="120"/>
      </w:pPr>
      <w:r>
        <w:t xml:space="preserve">Objetivo: "abrir" o sistema SynapseEdu e mostrar as principais peças executáveis/implantáveis (containers, no sentido C4 — não necessariamente Docker) e como elas se comunicam. Audiência: desenvolvedores e arquitetos.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00"/>
      </w:tblGrid>
      <w:tr>
        <w:tc>
          <w:tcPr>
            <w:tcW w:type="dxa" w:w="20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Container</w:t>
            </w:r>
          </w:p>
        </w:tc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Tecnologia</w:t>
            </w:r>
          </w:p>
        </w:tc>
        <w:tc>
          <w:tcPr>
            <w:tcW w:type="dxa" w:w="4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Responsabilidade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SPA Frontend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Interface web onde o conteudista lista, cadastra, edita e exclui recursos, e aciona o Smart Assist. Consome a API REST do backend.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API Backend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Python 3 + FastAPI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Expõe endpoints REST (/api/v1/resources, /api/v1/resources/smart-assist, /health), valida payloads com Pydantic, aplica regras de negócio e orquestra a chamada à IA.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Banco de Dados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PostgreSQL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Persiste os recursos educacionais (tabela resources) via SQLAlchemy (ORM).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Serviço de IA (externo)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Google Gemini API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Gera descrição e tags a partir de um prompt de sistema ("Assistente Pedagógico"), respondendo em JSON estrito.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Representação textual do diagrama:</w:t>
      </w:r>
    </w:p>
    <w:p>
      <w:pPr>
        <w:spacing w:after="120"/>
      </w:pPr>
      <w:r>
        <w:t xml:space="preserve">[Conteudista]</w:t>
      </w:r>
    </w:p>
    <w:p>
      <w:pPr>
        <w:spacing w:after="120"/>
      </w:pPr>
      <w:r>
        <w:t xml:space="preserve">     |  HTTPS (navegador)</w:t>
      </w:r>
    </w:p>
    <w:p>
      <w:pPr>
        <w:spacing w:after="120"/>
      </w:pPr>
      <w:r>
        <w:t xml:space="preserve">     v</w:t>
      </w:r>
    </w:p>
    <w:p>
      <w:pPr>
        <w:spacing w:after="120"/>
      </w:pPr>
      <w:r>
        <w:t xml:space="preserve">[SPA Frontend - React]</w:t>
      </w:r>
    </w:p>
    <w:p>
      <w:pPr>
        <w:spacing w:after="120"/>
      </w:pPr>
      <w:r>
        <w:t xml:space="preserve">     |  REST/JSON (fetch/axios)</w:t>
      </w:r>
    </w:p>
    <w:p>
      <w:pPr>
        <w:spacing w:after="120"/>
      </w:pPr>
      <w:r>
        <w:t xml:space="preserve">     v</w:t>
      </w:r>
    </w:p>
    <w:p>
      <w:pPr>
        <w:spacing w:after="120"/>
      </w:pPr>
      <w:r>
        <w:t xml:space="preserve">[API Backend - FastAPI]  ----REST/HTTPS (API key)----&gt;  [Google Gemini API]</w:t>
      </w:r>
    </w:p>
    <w:p>
      <w:pPr>
        <w:spacing w:after="120"/>
      </w:pPr>
      <w:r>
        <w:t xml:space="preserve">     |  SQL (SQLAlchemy/psycopg)</w:t>
      </w:r>
    </w:p>
    <w:p>
      <w:pPr>
        <w:spacing w:after="120"/>
      </w:pPr>
      <w:r>
        <w:t xml:space="preserve">     v</w:t>
      </w:r>
    </w:p>
    <w:p>
      <w:pPr>
        <w:spacing w:after="120"/>
      </w:pPr>
      <w:r>
        <w:t xml:space="preserve">[Banco de Dados - PostgreSQL]</w:t>
      </w:r>
    </w:p>
    <w:p>
      <w:pPr>
        <w:pStyle w:val="Heading1"/>
        <w:spacing w:after="120" w:before="240"/>
      </w:pPr>
      <w:r>
        <w:t xml:space="preserve">Nível 3 — Diagrama de Componentes (API Backend)</w:t>
      </w:r>
    </w:p>
    <w:p>
      <w:pPr>
        <w:spacing w:after="120"/>
      </w:pPr>
      <w:r>
        <w:t xml:space="preserve">Objetivo: "abrir" o container API Backend e mostrar seus principais módulos internos e como colaboram. Audiência: desenvolvedores que vão mexer diretamente no código do backend.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00"/>
      </w:tblGrid>
      <w:tr>
        <w:tc>
          <w:tcPr>
            <w:tcW w:type="dxa" w:w="20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2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Módulo</w:t>
            </w:r>
          </w:p>
        </w:tc>
        <w:tc>
          <w:tcPr>
            <w:tcW w:type="dxa" w:w="4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Responsabilidade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Routers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app/routers/resources.py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Define os endpoints HTTP, recebe/valida requisições (via Schemas) e delega a lógica para CRUD ou Services. Não conhece detalhes de SQL nem da API de IA.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Schemas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app/schemas/resource.py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Modelos Pydantic que definem o contrato de entrada/saída da API (validação de tipos, formatos de URL, etc.).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CRUD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app/crud/resource.py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Funções que executam operações de leitura/escrita no banco via SQLAlchemy. Não conhece detalhes de HTTP.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Models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app/db/models.py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Definição das tabelas do banco (ORM) — mapeamento objeto-relacional da entidade resources.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AI Service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app/services/ai_service.py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Monta o prompt de sistema ("Assistente Pedagógico"), chama a API do Gemini, faz o parsing do JSON de resposta e trata falhas/timeouts.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Config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app/core/config.py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Centraliza a leitura de variáveis de ambiente (.env): DATABASE_URL, GEMINI_API_KEY, etc.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Database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app/db/database.py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Cria a engine e as sessions do SQLAlchemy usadas pelo CRUD para conversar com o PostgreSQL.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Representação textual do fluxo (exemplo: requisição de Smart Assist):</w:t>
      </w:r>
    </w:p>
    <w:p>
      <w:pPr>
        <w:spacing w:after="120"/>
      </w:pPr>
      <w:r>
        <w:t xml:space="preserve">[Router: POST /smart-assist] --&gt; [Schema valida entrada] --&gt; [AI Service monta prompt e chama Gemini] --&gt; [AI Service faz parsing do JSON] --&gt; [Router retorna description + tags ao Frontend]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Representação textual do fluxo (exemplo: criação de recurso):</w:t>
      </w:r>
    </w:p>
    <w:p>
      <w:pPr>
        <w:spacing w:after="120"/>
      </w:pPr>
      <w:r>
        <w:t xml:space="preserve">[Router: POST /resources] --&gt; [Schema valida entrada] --&gt; [CRUD insere via Models] --&gt; [Database (session)] --&gt; [PostgreSQL]</w:t>
      </w:r>
    </w:p>
    <w:p>
      <w:pPr>
        <w:pStyle w:val="Heading2"/>
        <w:spacing w:after="120" w:before="240"/>
      </w:pPr>
      <w:r>
        <w:t xml:space="preserve">Por que parar no Nível 3?</w:t>
      </w:r>
    </w:p>
    <w:p>
      <w:pPr>
        <w:spacing w:after="120"/>
      </w:pPr>
      <w:r>
        <w:t xml:space="preserve">O C4 possui um quarto nível (Code), que detalharia classes e métodos individuais — geralmente gerado automaticamente por ferramentas de IDE (ex.: diagramas UML) e não mantido manualmente. Para o porte deste projeto, os níveis Contexto, Container e Componente já fornecem clareza suficiente para qualquer desenvolvedor entender o sistema sem precisar ler o código-fonte.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2026-07-22T15:29:53.893Z</dcterms:created>
  <dcterms:modified xsi:type="dcterms:W3CDTF">2026-07-22T15:29:53.893Z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