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40"/>
      </w:pPr>
      <w:r>
        <w:t xml:space="preserve">Modelo de Dados</w:t>
      </w:r>
    </w:p>
    <w:p>
      <w:pPr>
        <w:spacing w:after="120"/>
      </w:pPr>
      <w:r>
        <w:rPr>
          <w:i/>
          <w:iCs/>
          <w:color w:val="555555"/>
        </w:rPr>
        <w:t xml:space="preserve">SynapseEdu — Hub Inteligente de Recursos Educacionais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20" w:before="240"/>
      </w:pPr>
      <w:r>
        <w:t xml:space="preserve">Tabela: resources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3200"/>
      </w:tblGrid>
      <w:tr>
        <w:tc>
          <w:tcPr>
            <w:tcW w:type="dxa" w:w="18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18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22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Restrições</w:t>
            </w:r>
          </w:p>
        </w:tc>
        <w:tc>
          <w:tcPr>
            <w:tcW w:type="dxa" w:w="32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Observações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UUID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Chave primária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Decisão formalizada em ADR-03 (ver documento de ADRs). Gerado no backend, nunca enviado pelo cliente.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title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VARCHAR(255)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Obrigatório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Título do material didático.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description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Opcional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Pode ser preenchido manualmente ou via Smart Assist (IA).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type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VARCHAR(20)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Obrigatório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Valores aceitos: Vídeo, PDF, Link.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url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Obrigatório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Validação de formato de URL feita via Pydantic (HttpUrl).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tags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ARRAY(VARCHAR)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Máx. 3 itens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Decisão formalizada em ADR-04. Usa o tipo nativo ARRAY do PostgreSQL.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created_at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TIMESTAMP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Automático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Preenchido pelo servidor no momento da criação (server_default).</w:t>
            </w:r>
          </w:p>
        </w:tc>
      </w:tr>
    </w:tbl>
    <w:p>
      <w:pPr>
        <w:pStyle w:val="Heading1"/>
        <w:spacing w:after="120" w:before="240"/>
      </w:pPr>
      <w:r>
        <w:t xml:space="preserve">Decisões Confirmadas</w:t>
      </w:r>
    </w:p>
    <w:p>
      <w:pPr>
        <w:spacing w:after="120"/>
      </w:pPr>
      <w:r>
        <w:rPr>
          <w:b/>
          <w:bCs/>
        </w:rPr>
        <w:t xml:space="preserve">Chave primária (id): </w:t>
      </w:r>
      <w:r>
        <w:t xml:space="preserve">UUID.</w:t>
      </w:r>
    </w:p>
    <w:p>
      <w:pPr>
        <w:spacing w:after="120"/>
      </w:pPr>
      <w:r>
        <w:t xml:space="preserve">Justificativa: não é sequencial, não expõe a quantidade total de registros do sistema e é o padrão adotado por APIs públicas modernas. Requer a extensão uuid-ossp ou geração via Python (uuid4) antes do insert. Ver ADR-03.</w:t>
      </w:r>
    </w:p>
    <w:p>
      <w:pPr>
        <w:spacing w:after="120"/>
      </w:pPr>
      <w:r>
        <w:rPr>
          <w:b/>
          <w:bCs/>
        </w:rPr>
        <w:t xml:space="preserve">Tags: </w:t>
      </w:r>
      <w:r>
        <w:t xml:space="preserve">Array de VARCHAR (PostgreSQL ARRAY), e não tabela de relacionamento N:N.</w:t>
      </w:r>
    </w:p>
    <w:p>
      <w:pPr>
        <w:spacing w:after="120"/>
      </w:pPr>
      <w:r>
        <w:t xml:space="preserve">Justificativa: o escopo do desafio não exige reaproveitamento de tags entre recursos nem uma tela de gestão de tags; uma tabela de relacionamento adicionaria complexidade sem benefício correspondente neste estágio do projeto. Ver ADR-04.</w:t>
      </w:r>
    </w:p>
    <w:p>
      <w:pPr>
        <w:pStyle w:val="Heading2"/>
        <w:spacing w:after="120" w:before="240"/>
      </w:pPr>
      <w:r>
        <w:t xml:space="preserve">Observação sobre evolução futura</w:t>
      </w:r>
    </w:p>
    <w:p>
      <w:pPr>
        <w:spacing w:after="120"/>
      </w:pPr>
      <w:r>
        <w:t xml:space="preserve">Se o projeto crescer e passar a exigir busca por tag, autocomplete de tags existentes ou estatísticas de uso por tag, a migração para uma tabela de relacionamento (resource_tags) deve ser revisitada. Registrar esse ponto aqui evita que a decisão pareça esquecida — ela é deliberada e reversível.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2026-07-22T15:29:53.820Z</dcterms:created>
  <dcterms:modified xsi:type="dcterms:W3CDTF">2026-07-22T15:29:53.833Z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