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Airfoil trailing edges often cannot be infinitely sharp due to structural constraints.  [21]</w:t>
      </w:r>
      <w:r>
        <w:t xml:space="preserve">This makes them easier to manufacture. </w:t>
      </w:r>
    </w:p>
    <w:p>
      <w:pPr>
        <w:pStyle w:val="Heading1"/>
      </w:pPr>
      <w:r>
        <w:t>References</w:t>
      </w:r>
    </w:p>
    <w:p>
      <w:r>
        <w:t>[21]  Linyue Gao et al., "Aerodynamic performance of a blunt trailing-edge airfoil affected by vortex generators and a trailing-edge wedge," 3rd Renewable Power Generation Conference (RPG 2014), 2014. DOI: 10.1049/cp.2014.0917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