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31e981123d44f7d8ad3119cc76b0c4317a9aab"/>
    <w:p>
      <w:pPr>
        <w:pStyle w:val="Heading1"/>
      </w:pPr>
      <w:r>
        <w:t xml:space="preserve">Прайс и условия поставки. Компания «Сфера», действует с 1 августа 2026</w:t>
      </w:r>
    </w:p>
    <w:bookmarkStart w:id="9" w:name="прайс-базовые-цены-за-единицу-без-скидки"/>
    <w:p>
      <w:pPr>
        <w:pStyle w:val="Heading2"/>
      </w:pPr>
      <w:r>
        <w:t xml:space="preserve">Прайс, базовые цены за единицу без скидки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Артикул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Цена, ₽</w:t>
            </w:r>
          </w:p>
        </w:tc>
        <w:tc>
          <w:tcPr/>
          <w:p>
            <w:pPr>
              <w:pStyle w:val="Compact"/>
            </w:pPr>
            <w:r>
              <w:t xml:space="preserve">На складе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СФ-100</w:t>
            </w:r>
          </w:p>
        </w:tc>
        <w:tc>
          <w:tcPr/>
          <w:p>
            <w:pPr>
              <w:pStyle w:val="Compact"/>
            </w:pPr>
            <w:r>
              <w:t xml:space="preserve">Базовая модель, настольная</w:t>
            </w:r>
          </w:p>
        </w:tc>
        <w:tc>
          <w:tcPr/>
          <w:p>
            <w:pPr>
              <w:pStyle w:val="Compact"/>
            </w:pPr>
            <w:r>
              <w:t xml:space="preserve">14 900</w:t>
            </w:r>
          </w:p>
        </w:tc>
        <w:tc>
          <w:tcPr/>
          <w:p>
            <w:pPr>
              <w:pStyle w:val="Compact"/>
            </w:pPr>
            <w:r>
              <w:t xml:space="preserve">210 шт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СФ-200</w:t>
            </w:r>
          </w:p>
        </w:tc>
        <w:tc>
          <w:tcPr/>
          <w:p>
            <w:pPr>
              <w:pStyle w:val="Compact"/>
            </w:pPr>
            <w:r>
              <w:t xml:space="preserve">Базовая модель, напольная</w:t>
            </w:r>
          </w:p>
        </w:tc>
        <w:tc>
          <w:tcPr/>
          <w:p>
            <w:pPr>
              <w:pStyle w:val="Compact"/>
            </w:pPr>
            <w:r>
              <w:t xml:space="preserve">21 400</w:t>
            </w:r>
          </w:p>
        </w:tc>
        <w:tc>
          <w:tcPr/>
          <w:p>
            <w:pPr>
              <w:pStyle w:val="Compact"/>
            </w:pPr>
            <w:r>
              <w:t xml:space="preserve">85 шт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СФ-300</w:t>
            </w:r>
          </w:p>
        </w:tc>
        <w:tc>
          <w:tcPr/>
          <w:p>
            <w:pPr>
              <w:pStyle w:val="Compact"/>
            </w:pPr>
            <w:r>
              <w:t xml:space="preserve">Усиленная модель</w:t>
            </w:r>
          </w:p>
        </w:tc>
        <w:tc>
          <w:tcPr/>
          <w:p>
            <w:pPr>
              <w:pStyle w:val="Compact"/>
            </w:pPr>
            <w:r>
              <w:t xml:space="preserve">34 800</w:t>
            </w:r>
          </w:p>
        </w:tc>
        <w:tc>
          <w:tcPr/>
          <w:p>
            <w:pPr>
              <w:pStyle w:val="Compact"/>
            </w:pPr>
            <w:r>
              <w:t xml:space="preserve">40 шт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СФ-350</w:t>
            </w:r>
          </w:p>
        </w:tc>
        <w:tc>
          <w:tcPr/>
          <w:p>
            <w:pPr>
              <w:pStyle w:val="Compact"/>
            </w:pPr>
            <w:r>
              <w:t xml:space="preserve">Усиленная модель с расширенным комплектом</w:t>
            </w:r>
          </w:p>
        </w:tc>
        <w:tc>
          <w:tcPr/>
          <w:p>
            <w:pPr>
              <w:pStyle w:val="Compact"/>
            </w:pPr>
            <w:r>
              <w:t xml:space="preserve">41 200</w:t>
            </w:r>
          </w:p>
        </w:tc>
        <w:tc>
          <w:tcPr/>
          <w:p>
            <w:pPr>
              <w:pStyle w:val="Compact"/>
            </w:pPr>
            <w:r>
              <w:t xml:space="preserve">12 шт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СФ-500</w:t>
            </w:r>
          </w:p>
        </w:tc>
        <w:tc>
          <w:tcPr/>
          <w:p>
            <w:pPr>
              <w:pStyle w:val="Compact"/>
            </w:pPr>
            <w:r>
              <w:t xml:space="preserve">Промышленная серия</w:t>
            </w:r>
          </w:p>
        </w:tc>
        <w:tc>
          <w:tcPr/>
          <w:p>
            <w:pPr>
              <w:pStyle w:val="Compact"/>
            </w:pPr>
            <w:r>
              <w:t xml:space="preserve">78 500</w:t>
            </w:r>
          </w:p>
        </w:tc>
        <w:tc>
          <w:tcPr/>
          <w:p>
            <w:pPr>
              <w:pStyle w:val="Compact"/>
            </w:pPr>
            <w:r>
              <w:t xml:space="preserve">под заказ, 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СФ-505</w:t>
            </w:r>
          </w:p>
        </w:tc>
        <w:tc>
          <w:tcPr/>
          <w:p>
            <w:pPr>
              <w:pStyle w:val="Compact"/>
            </w:pPr>
            <w:r>
              <w:t xml:space="preserve">Промышленная серия, исполнение для холодных помещений</w:t>
            </w:r>
          </w:p>
        </w:tc>
        <w:tc>
          <w:tcPr/>
          <w:p>
            <w:pPr>
              <w:pStyle w:val="Compact"/>
            </w:pPr>
            <w:r>
              <w:t xml:space="preserve">92 300</w:t>
            </w:r>
          </w:p>
        </w:tc>
        <w:tc>
          <w:tcPr/>
          <w:p>
            <w:pPr>
              <w:pStyle w:val="Compact"/>
            </w:pPr>
            <w:r>
              <w:t xml:space="preserve">под заказ, 45 дней</w:t>
            </w:r>
          </w:p>
        </w:tc>
      </w:tr>
    </w:tbl>
    <w:bookmarkEnd w:id="9"/>
    <w:bookmarkStart w:id="10" w:name="Xe75642ae57f0b7bdd60d56e48393909da2aabfb"/>
    <w:p>
      <w:pPr>
        <w:pStyle w:val="Heading2"/>
      </w:pPr>
      <w:r>
        <w:t xml:space="preserve">Скидки за объём, считаются от суммы заказа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Сумма заказа</w:t>
            </w:r>
          </w:p>
        </w:tc>
        <w:tc>
          <w:tcPr/>
          <w:p>
            <w:pPr>
              <w:pStyle w:val="Compact"/>
            </w:pPr>
            <w:r>
              <w:t xml:space="preserve">Скидка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150 000 ₽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150 000 до 400 000 ₽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400 000 до 900 000 ₽</w:t>
            </w:r>
          </w:p>
        </w:tc>
        <w:tc>
          <w:tcPr/>
          <w:p>
            <w:pPr>
              <w:pStyle w:val="Compact"/>
            </w:pPr>
            <w:r>
              <w:t xml:space="preserve">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900 000 до 2 000 000 ₽</w:t>
            </w:r>
          </w:p>
        </w:tc>
        <w:tc>
          <w:tcPr/>
          <w:p>
            <w:pPr>
              <w:pStyle w:val="Compact"/>
            </w:pPr>
            <w:r>
              <w:t xml:space="preserve">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свыше 2 000 000 ₽</w:t>
            </w:r>
          </w:p>
        </w:tc>
        <w:tc>
          <w:tcPr/>
          <w:p>
            <w:pPr>
              <w:pStyle w:val="Compact"/>
            </w:pPr>
            <w:r>
              <w:t xml:space="preserve">обсуждается индивидуально, решение принимает коммерческий директор</w:t>
            </w:r>
          </w:p>
        </w:tc>
      </w:tr>
    </w:tbl>
    <w:p>
      <w:pPr>
        <w:pStyle w:val="BodyText"/>
      </w:pPr>
      <w:r>
        <w:t xml:space="preserve">Скидки за объём не суммируются ни с какими другими скидками.</w:t>
      </w:r>
      <w:r>
        <w:t xml:space="preserve"> </w:t>
      </w:r>
      <w:r>
        <w:t xml:space="preserve">Максимальная скидка, которую менеджер может дать без согласования, 8 %.</w:t>
      </w:r>
    </w:p>
    <w:bookmarkEnd w:id="10"/>
    <w:bookmarkStart w:id="11" w:name="доставка"/>
    <w:p>
      <w:pPr>
        <w:pStyle w:val="Heading2"/>
      </w:pPr>
      <w:r>
        <w:t xml:space="preserve">Доставка</w:t>
      </w:r>
    </w:p>
    <w:p>
      <w:pPr>
        <w:pStyle w:val="Compact"/>
        <w:numPr>
          <w:ilvl w:val="0"/>
          <w:numId w:val="1001"/>
        </w:numPr>
      </w:pPr>
      <w:r>
        <w:t xml:space="preserve">По Уфе: бесплатно при заказе от 100 000 ₽, иначе 2 500 ₽.</w:t>
      </w:r>
    </w:p>
    <w:p>
      <w:pPr>
        <w:pStyle w:val="Compact"/>
        <w:numPr>
          <w:ilvl w:val="0"/>
          <w:numId w:val="1001"/>
        </w:numPr>
      </w:pPr>
      <w:r>
        <w:t xml:space="preserve">По Республике Башкортостан: 4 900 ₽, срок 3 рабочих дня.</w:t>
      </w:r>
    </w:p>
    <w:p>
      <w:pPr>
        <w:pStyle w:val="Compact"/>
        <w:numPr>
          <w:ilvl w:val="0"/>
          <w:numId w:val="1001"/>
        </w:numPr>
      </w:pPr>
      <w:r>
        <w:t xml:space="preserve">По России: от 7 500 ₽, срок 5 рабочих дней, точная сумма считается по весу.</w:t>
      </w:r>
    </w:p>
    <w:p>
      <w:pPr>
        <w:pStyle w:val="Compact"/>
        <w:numPr>
          <w:ilvl w:val="0"/>
          <w:numId w:val="1001"/>
        </w:numPr>
      </w:pPr>
      <w:r>
        <w:t xml:space="preserve">Срочная доставка: срок сокращается вдвое, наценка 20 % к стоимости доставки.</w:t>
      </w:r>
    </w:p>
    <w:p>
      <w:pPr>
        <w:pStyle w:val="Compact"/>
        <w:numPr>
          <w:ilvl w:val="0"/>
          <w:numId w:val="1001"/>
        </w:numPr>
      </w:pPr>
      <w:r>
        <w:t xml:space="preserve">Самовывоз со склада в Уфе: бесплатно, склад работает с 9:00 до 18:00 по будням.</w:t>
      </w:r>
    </w:p>
    <w:bookmarkEnd w:id="11"/>
    <w:bookmarkStart w:id="12" w:name="оплата"/>
    <w:p>
      <w:pPr>
        <w:pStyle w:val="Heading2"/>
      </w:pPr>
      <w:r>
        <w:t xml:space="preserve">Оплата</w:t>
      </w:r>
    </w:p>
    <w:p>
      <w:pPr>
        <w:pStyle w:val="Compact"/>
        <w:numPr>
          <w:ilvl w:val="0"/>
          <w:numId w:val="1002"/>
        </w:numPr>
      </w:pPr>
      <w:r>
        <w:t xml:space="preserve">Стандартные условия: предоплата 100 %.</w:t>
      </w:r>
    </w:p>
    <w:p>
      <w:pPr>
        <w:pStyle w:val="Compact"/>
        <w:numPr>
          <w:ilvl w:val="0"/>
          <w:numId w:val="1002"/>
        </w:numPr>
      </w:pPr>
      <w:r>
        <w:t xml:space="preserve">Для заказов от 300 000 ₽: возможна схема 50 % предоплата, 50 % по факту поставки.</w:t>
      </w:r>
    </w:p>
    <w:p>
      <w:pPr>
        <w:pStyle w:val="Compact"/>
        <w:numPr>
          <w:ilvl w:val="0"/>
          <w:numId w:val="1002"/>
        </w:numPr>
      </w:pPr>
      <w:r>
        <w:t xml:space="preserve">Рассрочка на 3 месяца: только для заказов от 800 000 ₽ и только по договору с юрлицом.</w:t>
      </w:r>
    </w:p>
    <w:p>
      <w:pPr>
        <w:pStyle w:val="Compact"/>
        <w:numPr>
          <w:ilvl w:val="0"/>
          <w:numId w:val="1002"/>
        </w:numPr>
      </w:pPr>
      <w:r>
        <w:t xml:space="preserve">Оплата картой физлицом: только до 150 000 ₽.</w:t>
      </w:r>
    </w:p>
    <w:p>
      <w:pPr>
        <w:pStyle w:val="Compact"/>
        <w:numPr>
          <w:ilvl w:val="0"/>
          <w:numId w:val="1002"/>
        </w:numPr>
      </w:pPr>
      <w:r>
        <w:t xml:space="preserve">Отсрочка платежа: не предоставляется никому, включая постоянных клиентов.</w:t>
      </w:r>
    </w:p>
    <w:bookmarkEnd w:id="12"/>
    <w:bookmarkStart w:id="13" w:name="гарантия"/>
    <w:p>
      <w:pPr>
        <w:pStyle w:val="Heading2"/>
      </w:pPr>
      <w:r>
        <w:t xml:space="preserve">Гарантия</w:t>
      </w:r>
    </w:p>
    <w:p>
      <w:pPr>
        <w:pStyle w:val="Compact"/>
        <w:numPr>
          <w:ilvl w:val="0"/>
          <w:numId w:val="1003"/>
        </w:numPr>
      </w:pPr>
      <w:r>
        <w:t xml:space="preserve">СФ-100 и СФ-200: 12 месяцев.</w:t>
      </w:r>
    </w:p>
    <w:p>
      <w:pPr>
        <w:pStyle w:val="Compact"/>
        <w:numPr>
          <w:ilvl w:val="0"/>
          <w:numId w:val="1003"/>
        </w:numPr>
      </w:pPr>
      <w:r>
        <w:t xml:space="preserve">СФ-300 и СФ-350: 24 месяца.</w:t>
      </w:r>
    </w:p>
    <w:p>
      <w:pPr>
        <w:pStyle w:val="Compact"/>
        <w:numPr>
          <w:ilvl w:val="0"/>
          <w:numId w:val="1003"/>
        </w:numPr>
      </w:pPr>
      <w:r>
        <w:t xml:space="preserve">СФ-500 и СФ-505: 36 месяцев, при условии ежегодного платного обслуживания.</w:t>
      </w:r>
    </w:p>
    <w:p>
      <w:pPr>
        <w:pStyle w:val="Compact"/>
        <w:numPr>
          <w:ilvl w:val="0"/>
          <w:numId w:val="1003"/>
        </w:numPr>
      </w:pPr>
      <w:r>
        <w:t xml:space="preserve">Гарантия не покрывает: механические повреждения, попадание влаги,</w:t>
      </w:r>
      <w:r>
        <w:t xml:space="preserve"> </w:t>
      </w:r>
      <w:r>
        <w:t xml:space="preserve">работу вне температурного диапазона, вскрытие корпуса.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2026-08-25T03:49:09Z</dcterms:created>
  <dcterms:modified xsi:type="dcterms:W3CDTF">2026-08-25T03:49:09Z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