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color w:val="8A8A8A"/>
          <w:sz w:val="18"/>
          <w:szCs w:val="18"/>
        </w:rPr>
        <w:t xml:space="preserve">Министерство цифрового развития региона · рабочие материалы</w:t>
      </w:r>
    </w:p>
    <w:p>
      <w:pPr>
        <w:spacing w:after="200" w:before="60"/>
      </w:pPr>
      <w:r>
        <w:rPr>
          <w:rFonts w:ascii="Calibri" w:cs="Calibri" w:eastAsia="Calibri" w:hAnsi="Calibri"/>
          <w:b/>
          <w:bCs/>
          <w:color w:val="1F2A3D"/>
          <w:sz w:val="34"/>
          <w:szCs w:val="34"/>
        </w:rPr>
        <w:t xml:space="preserve">Шаблон справки на одну страницу</w:t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У руководителя три минуты на чтение и пять минут на выступление. Справка строго одна страница.</w:t>
      </w:r>
    </w:p>
    <w:p>
      <w:pPr>
        <w:spacing w:after="140" w:before="220"/>
      </w:pPr>
      <w:r>
        <w:rPr>
          <w:rFonts w:ascii="Calibri" w:cs="Calibri" w:eastAsia="Calibri" w:hAnsi="Calibri"/>
          <w:b/>
          <w:bCs/>
          <w:color w:val="C75B47"/>
          <w:sz w:val="26"/>
          <w:szCs w:val="26"/>
        </w:rPr>
        <w:t xml:space="preserve">Структура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СУТЬ ВОПРОСА: пять строк, что происходит и почему это на столе.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КАК ЕСТЬ СЕЙЧАС: факты и цифры. После каждого факта в скобках источник: (отчёт за 2025), (выгрузка от 05.08).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КТО ЧЕГО ХОЧЕТ: позиции сторон, по одной строке на сторону.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РАЗВИЛКА: два-три варианта решения. У каждого плюс, минус и цена вопроса.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ТЕЗИСЫ ДЛЯ УСТНОГО ДОКЛАДА: пять пунктов, в каждом факт, цифра и вывод.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ТРИ НЕУДОБНЫХ ВОПРОСА: которые могут задать, с ответами в две строки.</w:t>
      </w:r>
    </w:p>
    <w:p>
      <w:pPr>
        <w:spacing w:after="140" w:before="220"/>
      </w:pPr>
      <w:r>
        <w:rPr>
          <w:rFonts w:ascii="Calibri" w:cs="Calibri" w:eastAsia="Calibri" w:hAnsi="Calibri"/>
          <w:b/>
          <w:bCs/>
          <w:color w:val="C75B47"/>
          <w:sz w:val="26"/>
          <w:szCs w:val="26"/>
        </w:rPr>
        <w:t xml:space="preserve">Правила работы с цифрами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Противоречия между документами не сглаживаются: выносятся отдельной строкой «РАСХОЖДЕНИЕ» с указанием обоих источников.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Чего нет в документах, помечается «нет данных». По памяти не подставляется, в выгодную сторону не округляется.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Официально-деловой стиль, но живой: без «в современных условиях», «нельзя не отметить», «прорывной».</w:t>
      </w:r>
    </w:p>
    <w:p>
      <w:pPr>
        <w:spacing w:before="320"/>
      </w:pPr>
      <w:r>
        <w:rPr>
          <w:rFonts w:ascii="Calibri" w:cs="Calibri" w:eastAsia="Calibri" w:hAnsi="Calibri"/>
          <w:i/>
          <w:iCs/>
          <w:color w:val="9A9A9A"/>
          <w:sz w:val="16"/>
          <w:szCs w:val="16"/>
        </w:rPr>
        <w:t xml:space="preserve">Условный документ. Подготовлен для демонстрации на занятии, не является нормативным актом. Данные синтетические.</w:t>
      </w:r>
    </w:p>
    <w:sectPr>
      <w:pgSz w:w="11906" w:h="16838" w:orient="portrait"/>
      <w:pgMar w:top="10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2026-08-12T19:25:23.495Z</dcterms:created>
  <dcterms:modified xsi:type="dcterms:W3CDTF">2026-08-12T19:25:23.495Z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