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pacing w:val="60"/>
          <w:sz w:val="36"/>
          <w:szCs w:val="36"/>
        </w:rPr>
        <w:t xml:space="preserve">DMR RECONCILER</w:t>
      </w:r>
    </w:p>
    <w:p>
      <w:pPr>
        <w:spacing w:after="60"/>
        <w:jc w:val="center"/>
      </w:pPr>
      <w:r>
        <w:rPr>
          <w:color w:val="111111"/>
          <w:sz w:val="24"/>
          <w:szCs w:val="24"/>
        </w:rPr>
        <w:t xml:space="preserve">Input File Formatting Rubric · 输入文件格式规范</w:t>
      </w:r>
    </w:p>
    <w:p>
      <w:pPr>
        <w:pBdr>
          <w:bottom w:val="single" w:color="111111" w:sz="6" w:space="6"/>
        </w:pBdr>
        <w:spacing w:after="240"/>
        <w:jc w:val="center"/>
      </w:pPr>
      <w:r>
        <w:rPr>
          <w:color w:val="6b6b6b"/>
          <w:sz w:val="18"/>
          <w:szCs w:val="18"/>
        </w:rPr>
        <w:t xml:space="preserve">Give this to whoever prepares the PLOG tracker or the DMR export. 请把本规范交给制作 PLOG 追踪表或 DMR 导出文件的同事/供应商。</w:t>
      </w:r>
    </w:p>
    <w:p>
      <w:pPr>
        <w:pStyle w:val="Heading1"/>
        <w:spacing w:after="120" w:before="280"/>
      </w:pPr>
      <w:r>
        <w:rPr>
          <w:b/>
          <w:bCs/>
          <w:color w:val="111111"/>
          <w:sz w:val="30"/>
          <w:szCs w:val="30"/>
        </w:rPr>
        <w:t xml:space="preserve">0. Golden rules · 通用规则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Excel .xlsx only, maximum 25 MB per file. No .xls, .csv, or password protection.</w:t>
      </w:r>
      <w:r>
        <w:rPr>
          <w:color w:val="6b6b6b"/>
          <w:sz w:val="20"/>
          <w:szCs w:val="20"/>
        </w:rPr>
        <w:t xml:space="preserve">  只接受 Excel .xlsx，单个文件不超过 25 MB。不要用 .xls、.csv，不要加密码。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Keep the column headers EXACTLY as listed below. Case and spacing are forgiven, but renamed columns are not.</w:t>
      </w:r>
      <w:r>
        <w:rPr>
          <w:color w:val="6b6b6b"/>
          <w:sz w:val="20"/>
          <w:szCs w:val="20"/>
        </w:rPr>
        <w:t xml:space="preserve">  表头名称必须与下文完全一致。大小写和空格无所谓，但改名不行。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The header row may sit anywhere in the first 15 rows — notes above it are fine. One header row, one table per sheet.</w:t>
      </w:r>
      <w:r>
        <w:rPr>
          <w:color w:val="6b6b6b"/>
          <w:sz w:val="20"/>
          <w:szCs w:val="20"/>
        </w:rPr>
        <w:t xml:space="preserve">  表头行可在前 15 行内的任意位置——上方可以有说明行。每张工作表只放一个表头、一张表。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Never merge two records into one row, and never split one record across two rows.</w:t>
      </w:r>
      <w:r>
        <w:rPr>
          <w:color w:val="6b6b6b"/>
          <w:sz w:val="20"/>
          <w:szCs w:val="20"/>
        </w:rPr>
        <w:t xml:space="preserve">  不要把两条记录并进一行，也不要把一条记录拆成两行。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A file in a different layout will still be accepted, but it triggers a manual column-mapping review — following this rubric skips that step.</w:t>
      </w:r>
      <w:r>
        <w:rPr>
          <w:color w:val="6b6b6b"/>
          <w:sz w:val="20"/>
          <w:szCs w:val="20"/>
        </w:rPr>
        <w:t xml:space="preserve">  格式不符的文件也能上传，但会多出一步人工列映射审核——按本规范来就能跳过。</w:t>
      </w:r>
    </w:p>
    <w:p>
      <w:pPr>
        <w:pStyle w:val="Heading1"/>
        <w:spacing w:after="120" w:before="280"/>
      </w:pPr>
      <w:r>
        <w:rPr>
          <w:b/>
          <w:bCs/>
          <w:color w:val="111111"/>
          <w:sz w:val="30"/>
          <w:szCs w:val="30"/>
        </w:rPr>
        <w:t xml:space="preserve">1. PLOG tracker · PLOG 投放追踪表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Sheet name: </w:t>
      </w:r>
      <w:r>
        <w:rPr>
          <w:rFonts w:ascii="Courier New" w:cs="Courier New" w:eastAsia="Courier New" w:hAnsi="Courier New"/>
          <w:sz w:val="20"/>
          <w:szCs w:val="20"/>
        </w:rPr>
        <w:t xml:space="preserve">MASTER KOL LIST</w:t>
      </w:r>
      <w:r>
        <w:rPr>
          <w:color w:val="111111"/>
          <w:sz w:val="20"/>
          <w:szCs w:val="20"/>
        </w:rPr>
        <w:t xml:space="preserve">.  One row = one post. Header row (copy it exactly):</w:t>
      </w:r>
      <w:r>
        <w:rPr>
          <w:color w:val="6b6b6b"/>
          <w:sz w:val="20"/>
          <w:szCs w:val="20"/>
        </w:rPr>
        <w:t xml:space="preserve">  工作表名 MASTER KOL LIST。一行 = 一篇帖子。表头如下（原样照抄）：</w:t>
      </w:r>
    </w:p>
    <w:p>
      <w:pPr>
        <w:shd w:fill="f5f4f1" w:val="clear"/>
        <w:spacing w:after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NO | MCN | CAMPAIGN | TYPE | LEVEL | NAME | FAN BASE（K) | POST DATE | MICRO MACRO | POST LINK | IMPRESSION | LIKE | COLLECTION | COMMENT | TTL ENGAGEMENT | PRICE | CPM | CPE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300"/>
        <w:gridCol w:w="6310"/>
      </w:tblGrid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5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Column 列名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5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Required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5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Rule 规则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KOL's Xiaohongshu display name, exactly as shown on their profile. Emoji are fine.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博主在小红书上的昵称，与主页显示完全一致。可以带 emoji。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LINK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post's link: an xhslink.com share link or a xiaohongshu.com note URL. Plain text or a hyperlink cell — both work. ONE link per row, and never the same link on two rows.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帖子链接：xhslink.com 分享短链或 xiaohongshu.com 笔记链接。纯文字或超链接单元格都行。一行一条链接，绝不能两行共用同一条。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Must begin with 报备 (declared/paid) or 软植 (soft placement) — e.g. 报备图文, 软植图文, 报备视频.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必须以「报备」或「软植」开头——如 报备图文、软植图文、报备视频。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One of: 头部 / 腰部 / 尾部 / 底部 / KOC. If left blank, the tool tiers the row by FAN BASE instead (≤200K KOC · 200–400K BOT · 400K–1M MID · 1M+ TOP) and flags it for review.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只能填：头部 / 腰部 / 尾部 / 底部 / KOC。留空时工具会按粉丝量自动分层（≤200K KOC · 200–400K BOT · 400K–1M MID · 1M+ TOP）并标注提醒。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FAN BASE（K)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Follower count in THOUSANDS: write 130 for 130,000 followers; 1741 for 1.74 million. Do not write the raw count (130000).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粉丝量，单位为「千」：13 万粉写 130；174 万粉写 1741。不要写原始数（130000）。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DATE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date the post went live, as a real Excel date cell (preferred) or text like 2026-06-25. Four-digit years, please. Never a bare number.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发帖日期。最好用 Excel 日期格式，文字形式请写 2026-06-25。年份写四位。不要填纯数字。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IMPRESSION / LIKE / COLLECTION / COMMENT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Plain whole numbers (commas OK). No text like “1.2w”.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纯整数（可带千分位逗号）。不要写「1.2w」这类文字。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TTL ENGAGEMENT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Must equal LIKE + COLLECTION + COMMENT exactly — the tool checks this identity on every row.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必须严格等于 点赞+收藏+评论 之和——工具会逐行校验。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Collaboration price in CNY, number only (23000, not ¥23,000元).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合作价格（人民币），只填数字（23000，不要写 ¥ 或 元）。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NO / CAMPAIGN / MCN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Recommended 建议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NO restarts from 1 within each campaign. CAMPAIGN may be written once at the top of its section — rows below inherit it.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NO 在每个 campaign 内从 1 重新编号。CAMPAIGN 可只在段落首行填写，下面的行自动沿用。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CPM / CPE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Optional 选填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tool never uses these — it recomputes both from PRICE and IMPRESSION/ENGAGEMENT. (Note: this file's CPM is price per single impression, ×1000 off the industry standard — another reason it is never reused.)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工具不使用这两列——CPM/CPE 会用 PRICE 和曝光/互动重新计算。（此文件的 CPM 是单次曝光单价，与行业口径差 1000 倍，因此绝不复用。）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Column S and beyond S 列及以后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Leave EMPTY 请留空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tool writes its verdicts in column S and its evidence in the columns after it. Anything you leave there is preserved, not overwritten — but a clean file gives the clearest output.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工具会把判定结果写入 S 列、判定依据写入其后各列。你留下的内容会被保留、不会被覆盖——但留空能得到最干净的输出。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11111"/>
          <w:sz w:val="30"/>
          <w:szCs w:val="30"/>
        </w:rPr>
        <w:t xml:space="preserve">2. DMR export · DMR 导出文件</w:t>
      </w:r>
    </w:p>
    <w:p>
      <w:pPr>
        <w:spacing w:after="80"/>
      </w:pPr>
      <w:r>
        <w:rPr>
          <w:color w:val="111111"/>
          <w:sz w:val="20"/>
          <w:szCs w:val="20"/>
        </w:rPr>
        <w:t xml:space="preserve">Any sheet name (e.g. </w:t>
      </w:r>
      <w:r>
        <w:rPr>
          <w:rFonts w:ascii="Courier New" w:cs="Courier New" w:eastAsia="Courier New" w:hAnsi="Courier New"/>
          <w:sz w:val="20"/>
          <w:szCs w:val="20"/>
        </w:rPr>
        <w:t xml:space="preserve">Streaming</w:t>
      </w:r>
      <w:r>
        <w:rPr>
          <w:color w:val="111111"/>
          <w:sz w:val="20"/>
          <w:szCs w:val="20"/>
        </w:rPr>
        <w:t xml:space="preserve">).  Keep the generation-info cell above the header — its “From … To …” line defines the export window:</w:t>
      </w:r>
      <w:r>
        <w:rPr>
          <w:color w:val="6b6b6b"/>
          <w:sz w:val="20"/>
          <w:szCs w:val="20"/>
        </w:rPr>
        <w:t xml:space="preserve">  工作表名不限（如 Streaming）。表头上方的生成信息必须保留——其中「From … To …」定义导出窗口：</w:t>
      </w:r>
    </w:p>
    <w:p>
      <w:pPr>
        <w:shd w:fill="f5f4f1" w:val="clear"/>
        <w:spacing w:after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User: …  Generation date: 20/07/2026 …  Top Bloggers - From 01/01/2026 To 20/07/2026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300"/>
        <w:gridCol w:w="6310"/>
      </w:tblGrid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5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Column 列名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5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Required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5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Rule 规则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PostID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Xiaohongshu note id: exactly 24 hexadecimal characters (e.g. 69674d92000000000c0364…). This is THE join key. Format the column as Text so Excel cannot mangle it into scientific notation.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小红书笔记 ID：24 位十六进制字符。这是最关键的关联键。请把整列设为「文本」格式，防止 Excel 转成科学计数法。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Username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author's platform user id (24-hex). Without this column the tool cannot distinguish 无博主 from 无帖子 — do not omit or blank it.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作者的平台用户 ID（24 位十六进制）。没有这一列就无法区分「无博主」和「无帖子」——不能省略、不能留空。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Blogger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blogger's display name as crawled.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抓取到的博主昵称。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PostDate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Crawl-recorded post date/time.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抓取记录的发帖时间。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Likes_Retweet / Share_Favorites / Engagement / Comments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必填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First-crawl engagement snapshot, whole numbers. (These are context only — the tool never uses engagement to decide a match.)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首次抓取的互动快照，整数。（仅作参考——工具绝不用互动数判断匹配。）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Link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Recommended 建议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post URL; a hyperlink whose target embeds the note id is ideal (used as a cross-check against PostID).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帖子链接；最好是内嵌笔记 ID 的超链接（用于和 PostID 交叉校验）。</w:t>
            </w:r>
          </w:p>
        </w:tc>
      </w:tr>
      <w:tr>
        <w:tc>
          <w:tcPr>
            <w:tcW w:type="dxa" w:w="175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Export window 导出窗口</w:t>
            </w:r>
          </w:p>
        </w:tc>
        <w:tc>
          <w:tcPr>
            <w:tcW w:type="dxa" w:w="1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color w:val="111111"/>
                <w:sz w:val="20"/>
                <w:szCs w:val="20"/>
              </w:rPr>
              <w:t xml:space="preserve">YES 必须</w:t>
            </w:r>
          </w:p>
        </w:tc>
        <w:tc>
          <w:tcPr>
            <w:tcW w:type="dxa" w:w="631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color w:val="111111"/>
                <w:sz w:val="20"/>
                <w:szCs w:val="20"/>
              </w:rPr>
              <w:t xml:space="preserve">The From/To dates must cover every campaign post date, or posts outside them are treated as expected-missing rather than checked. (The window can be edited in-app, but an accurate export beats a patched one.)</w:t>
            </w:r>
          </w:p>
          <w:p>
            <w:pPr>
              <w:spacing w:after="0"/>
            </w:pPr>
            <w:r>
              <w:rPr>
                <w:color w:val="6b6b6b"/>
                <w:sz w:val="20"/>
                <w:szCs w:val="20"/>
              </w:rPr>
              <w:t xml:space="preserve">From/To 日期必须覆盖所有投放帖子的发帖日期，否则窗口外的帖子按「预期缺失」处理、不参与核对。（窗口可在系统内修改，但导出准确永远优于事后修补。）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11111"/>
          <w:sz w:val="30"/>
          <w:szCs w:val="30"/>
        </w:rPr>
        <w:t xml:space="preserve">3. Perimeter workbook (optional) · Perimeter 名单（选交）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The LVMH workbook containing a “List Micro” sheet, with NAME and REDBOOK_ID columns and the “Date of extraction :” line above the header.</w:t>
      </w:r>
      <w:r>
        <w:rPr>
          <w:color w:val="6b6b6b"/>
          <w:sz w:val="20"/>
          <w:szCs w:val="20"/>
        </w:rPr>
        <w:t xml:space="preserve">  含「List Micro」工作表的 LVMH 名单文件，需有 NAME 和 REDBOOK_ID 列，表头上方保留「Date of extraction :」行。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Only China-market rows are used (IN_CHINA_REPORTS = YES, or COUNTRY = Mainland China). Send the freshest extraction — the date is shown in-app.</w:t>
      </w:r>
      <w:r>
        <w:rPr>
          <w:color w:val="6b6b6b"/>
          <w:sz w:val="20"/>
          <w:szCs w:val="20"/>
        </w:rPr>
        <w:t xml:space="preserve">  只使用中国市场的行（IN_CHINA_REPORTS=YES，或 COUNTRY=Mainland China）。请交最新提取的版本——提取日期会在系统中显示。</w:t>
      </w:r>
    </w:p>
    <w:p>
      <w:pPr>
        <w:pStyle w:val="Heading1"/>
        <w:spacing w:after="120" w:before="280"/>
      </w:pPr>
      <w:r>
        <w:rPr>
          <w:b/>
          <w:bCs/>
          <w:color w:val="111111"/>
          <w:sz w:val="30"/>
          <w:szCs w:val="30"/>
        </w:rPr>
        <w:t xml:space="preserve">4. Pre-send checklist · 交付前自查清单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File is .xlsx, under 25 MB, not password-protected.</w:t>
      </w:r>
      <w:r>
        <w:rPr>
          <w:color w:val="6b6b6b"/>
          <w:sz w:val="20"/>
          <w:szCs w:val="20"/>
        </w:rPr>
        <w:t xml:space="preserve">  文件为 .xlsx，小于 25 MB，未加密。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Headers match this rubric word-for-word.</w:t>
      </w:r>
      <w:r>
        <w:rPr>
          <w:color w:val="6b6b6b"/>
          <w:sz w:val="20"/>
          <w:szCs w:val="20"/>
        </w:rPr>
        <w:t xml:space="preserve">  表头与本规范逐字一致。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PLOG: every row has NAME + POST LINK; no two rows share a link.</w:t>
      </w:r>
      <w:r>
        <w:rPr>
          <w:color w:val="6b6b6b"/>
          <w:sz w:val="20"/>
          <w:szCs w:val="20"/>
        </w:rPr>
        <w:t xml:space="preserve">  PLOG：每行都有 NAME 和 POST LINK；没有两行共用同一链接。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PLOG: TTL ENGAGEMENT = LIKE + COLLECTION + COMMENT on every row.</w:t>
      </w:r>
      <w:r>
        <w:rPr>
          <w:color w:val="6b6b6b"/>
          <w:sz w:val="20"/>
          <w:szCs w:val="20"/>
        </w:rPr>
        <w:t xml:space="preserve">  PLOG：每行 TTL ENGAGEMENT 等于三项互动之和。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PLOG: FAN BASE is in thousands; TYPE starts with 报备/软植; LEVEL uses the five allowed labels.</w:t>
      </w:r>
      <w:r>
        <w:rPr>
          <w:color w:val="6b6b6b"/>
          <w:sz w:val="20"/>
          <w:szCs w:val="20"/>
        </w:rPr>
        <w:t xml:space="preserve">  PLOG：粉丝量以千为单位；TYPE 以报备/软植开头；LEVEL 只用五个规定标签。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DMR: PostID column formatted as Text, 24-hex values intact; Username column present and filled.</w:t>
      </w:r>
      <w:r>
        <w:rPr>
          <w:color w:val="6b6b6b"/>
          <w:sz w:val="20"/>
          <w:szCs w:val="20"/>
        </w:rPr>
        <w:t xml:space="preserve">  DMR：PostID 列为文本格式、24 位十六进制完整；Username 列存在且有值。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0"/>
          <w:szCs w:val="20"/>
        </w:rPr>
        <w:t xml:space="preserve">DMR: the From/To window line is present and covers the campaign dates.</w:t>
      </w:r>
      <w:r>
        <w:rPr>
          <w:color w:val="6b6b6b"/>
          <w:sz w:val="20"/>
          <w:szCs w:val="20"/>
        </w:rPr>
        <w:t xml:space="preserve">  DMR：From/To 窗口行存在，且覆盖投放日期范围。</w:t>
      </w:r>
    </w:p>
    <w:p>
      <w:pPr>
        <w:pBdr>
          <w:top w:val="single" w:color="d9d6d0" w:sz="4" w:space="6"/>
        </w:pBdr>
        <w:spacing w:before="300"/>
      </w:pPr>
      <w:r>
        <w:rPr>
          <w:color w:val="6b6b6b"/>
          <w:sz w:val="17"/>
          <w:szCs w:val="17"/>
        </w:rPr>
        <w:t xml:space="preserve">Questions or a source system that cannot match this layout? Upload the file anyway — the tool will propose a column mapping for human approval — and tell the team so this rubric can be extended.  如有疑问，或源系统实在无法输出此格式：文件仍可直接上传（工具会给出列映射建议、经人工审核后使用），同时请告知团队，以便扩充本规范。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2026-07-22T09:12:02.668Z</dcterms:created>
  <dcterms:modified xsi:type="dcterms:W3CDTF">2026-07-22T09:12:02.668Z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