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11111"/>
          <w:spacing w:val="60"/>
          <w:sz w:val="36"/>
          <w:szCs w:val="36"/>
        </w:rPr>
        <w:t xml:space="preserve">DMR RECONCILER</w:t>
      </w:r>
    </w:p>
    <w:p>
      <w:pPr>
        <w:spacing w:after="60"/>
        <w:jc w:val="center"/>
      </w:pPr>
      <w:r>
        <w:rPr>
          <w:color w:val="111111"/>
          <w:sz w:val="24"/>
          <w:szCs w:val="24"/>
        </w:rPr>
        <w:t xml:space="preserve">Input File Formatting Rubric · 输入文件格式规范</w:t>
      </w:r>
    </w:p>
    <w:p>
      <w:pPr>
        <w:pBdr>
          <w:bottom w:val="single" w:color="111111" w:sz="6" w:space="6"/>
        </w:pBdr>
        <w:spacing w:after="240"/>
        <w:jc w:val="center"/>
      </w:pPr>
      <w:r>
        <w:rPr>
          <w:rFonts w:ascii="Calibri" w:cs="Calibri" w:eastAsia="Arial Unicode MS" w:hAnsi="Calibri"/>
          <w:color w:val="6b6b6b"/>
          <w:sz w:val="18"/>
          <w:szCs w:val="18"/>
        </w:rPr>
        <w:t xml:space="preserve">Give this to whoever prepares the PLOG tracker or the DMR export. 请把本规范交给制作 PLOG 追踪表或 DMR 导出文件的同事/供应商。</w:t>
      </w:r>
    </w:p>
    <w:p>
      <w:pPr>
        <w:pStyle w:val="Heading1"/>
        <w:spacing w:after="120" w:before="280"/>
      </w:pPr>
      <w:r>
        <w:rPr>
          <w:b/>
          <w:bCs/>
          <w:color w:val="111111"/>
          <w:sz w:val="30"/>
          <w:szCs w:val="30"/>
        </w:rPr>
        <w:t xml:space="preserve">0. Golden rules · 通用规则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Excel .xlsx only, maximum 25 MB per file. No .xls, .csv, or password protection.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只接受 Excel .xlsx，单个文件不超过 25 MB。不要用 .xls、.csv，不要加密码。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Keep the column headers EXACTLY as listed below. Case and spacing are forgiven, but renamed columns are not.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表头名称必须与下文完全一致。大小写和空格无所谓，但改名不行。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The header row may sit anywhere in the first 15 rows — notes above it are fine. One header row, one table per sheet.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表头行可在前 15 行内的任意位置——上方可以有说明行。每张工作表只放一个表头、一张表。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Never merge two records into one row, and never split one record across two rows.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不要把两条记录并进一行，也不要把一条记录拆成两行。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A different layout enters manual column mapping only when the uploader explicitly consents, Claude is configured, and an administrator approves the proposal; otherwise it is rejected. Following this rubric skips that flow.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格式不同时，只有上传者明确同意、系统已配置 Claude、且管理员审核通过建议后，才会进入人工列映射流程；否则文件会被拒绝。按本规范来可跳过该流程。</w:t>
      </w:r>
    </w:p>
    <w:p>
      <w:pPr>
        <w:pStyle w:val="Heading1"/>
        <w:spacing w:after="120" w:before="280"/>
      </w:pPr>
      <w:r>
        <w:rPr>
          <w:b/>
          <w:bCs/>
          <w:color w:val="111111"/>
          <w:sz w:val="30"/>
          <w:szCs w:val="30"/>
        </w:rPr>
        <w:t xml:space="preserve">1. PLOG tracker · PLOG 投放追踪表</w:t>
      </w:r>
    </w:p>
    <w:p>
      <w:pPr>
        <w:spacing w:after="80"/>
      </w:pPr>
      <w:r>
        <w:rPr>
          <w:rFonts w:ascii="Calibri" w:cs="Calibri" w:eastAsia="Arial Unicode MS" w:hAnsi="Calibri"/>
          <w:b/>
          <w:bCs/>
          <w:color w:val="111111"/>
          <w:sz w:val="20"/>
          <w:szCs w:val="20"/>
        </w:rPr>
        <w:t xml:space="preserve">Sheet name: </w:t>
      </w:r>
      <w:r>
        <w:rPr>
          <w:rFonts w:ascii="Courier New" w:cs="Courier New" w:eastAsia="Courier New" w:hAnsi="Courier New"/>
          <w:sz w:val="20"/>
          <w:szCs w:val="20"/>
        </w:rPr>
        <w:t xml:space="preserve">MASTER KOL LIST</w:t>
      </w: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.  One row = one post. Header row (copy it exactly):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工作表名 MASTER KOL LIST。一行 = 一篇帖子。表头如下（原样照抄）：</w:t>
      </w:r>
    </w:p>
    <w:p>
      <w:pPr>
        <w:shd w:fill="f5f4f1" w:val="clear"/>
        <w:spacing w:after="160"/>
      </w:pPr>
      <w:r>
        <w:rPr>
          <w:rFonts w:ascii="Courier New" w:cs="Courier New" w:eastAsia="Courier New" w:hAnsi="Courier New"/>
          <w:color w:val="111111"/>
          <w:sz w:val="17"/>
          <w:szCs w:val="17"/>
        </w:rPr>
        <w:t xml:space="preserve">NO | MCN | CAMPAIGN | TYPE | LEVEL | NAME | FAN BASE（K) | POST DATE | MICRO MACRO | POST LINK | IMPRESSION | LIKE | COLLECTION | COMMENT | TTL ENGAGEMENT | PRICE | CPM | CPE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00"/>
        <w:gridCol w:w="6110"/>
      </w:tblGrid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shd w:fill="f5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Column 列名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shd w:fill="f5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Required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shd w:fill="f5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Rule 规则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The KOL's Xiaohongshu display name, exactly as shown on their profile. Emoji are fine.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博主在小红书上的昵称，与主页显示完全一致。可以带 emoji。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POST LINK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The post's link: an xhslink.com share link or a xiaohongshu.com note URL. Plain text or a hyperlink cell — both work. ONE link per row, and never the same link on two rows.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帖子链接：xhslink.com 分享短链或 xiaohongshu.com 笔记链接。纯文字或超链接单元格都行。一行一条链接，绝不能两行共用同一条。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Must begin with 报备 (declared/paid) or 软植 (soft placement) — e.g. 报备图文, 软植图文, 报备视频.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必须以「报备」或「软植」开头——如 报备图文、软植图文、报备视频。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LEVEL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One of: 头部 / 腰部 / 尾部 / 底部 / KOC. Blank, 待定, and ? fall back to FAN BASE (≥1000K TOP · ≥400K MID · ≥200K BOT · otherwise KOC) and are flagged as V12. Any other label stays unclassified.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只能填：头部 / 腰部 / 尾部 / 底部 / KOC。留空、待定或 ? 时按粉丝量回退分层（≥1000K TOP · ≥400K MID · ≥200K BOT · 其余 KOC），并以 V12 提醒；其他标签保持未分类。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FAN BASE（K)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Use ONE unit for the entire workbook and choose the same unit on the report form. Recommended: thousands (130 means 130,000). Raw mode is also supported (130000 means 130,000). Never mix units row by row.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整份工作簿只能使用一种单位，并在报告表单中选择相同单位。建议用「千」（130 表示 13 万）；也支持原始粉丝数模式（130000 表示 13 万）。绝不能逐行混用单位。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POST DATE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The date the post went live, as a real Excel date cell (preferred) or text like 2026-06-25. Four-digit years, please. Never a bare number.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发帖日期。最好用 Excel 日期格式，文字形式请写 2026-06-25。年份写四位。不要填纯数字。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IMPRESSION / LIKE / COLLECTION / COMMENT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Plain whole numbers (commas OK). No text like “1.2w”.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纯整数（可带千分位逗号）。不要写「1.2w」这类文字。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TTL ENGAGEMENT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Must equal LIKE + COLLECTION + COMMENT exactly — the tool checks this identity on every row.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必须严格等于 点赞+收藏+评论 之和——工具会逐行校验。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PRICE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Collaboration price in CNY, number only (23000, not ¥23,000元).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合作价格（人民币），只填数字（23000，不要写 ¥ 或 元）。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NO / CAMPAIGN / MCN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Suggested 建议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NO restarts from 1 within each campaign. CAMPAIGN may be written once at the top of its section — rows below inherit it.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NO 在每个 campaign 内从 1 重新编号。CAMPAIGN 可只在段落首行填写，下面的行自动沿用。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CPM / CPE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Optional 选填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The tool never uses these — it recomputes both from PRICE and IMPRESSION/ENGAGEMENT. (Note: this file's CPM is price per single impression, ×1000 off the industry standard — another reason it is never reused.)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工具不使用这两列——CPM/CPE 会用 PRICE 和曝光/互动重新计算。（此文件的 CPM 是单次曝光单价，与行业口径差 1000 倍，因此绝不复用。）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Column S and beyond S 列及以后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Leave EMPTY 请留空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The tool writes its verdicts in column S and its evidence in the columns after it. Anything you leave there is preserved, not overwritten — but a clean file gives the clearest output.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工具会把判定结果写入 S 列、判定依据写入其后各列。你留下的内容会被保留、不会被覆盖——但留空能得到最干净的输出。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111111"/>
          <w:sz w:val="30"/>
          <w:szCs w:val="30"/>
        </w:rPr>
        <w:t xml:space="preserve">2. DMR export · DMR 导出文件</w:t>
      </w:r>
    </w:p>
    <w:p>
      <w:pPr>
        <w:spacing w:after="8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Any sheet name (e.g. </w:t>
      </w:r>
      <w:r>
        <w:rPr>
          <w:rFonts w:ascii="Courier New" w:cs="Courier New" w:eastAsia="Courier New" w:hAnsi="Courier New"/>
          <w:sz w:val="20"/>
          <w:szCs w:val="20"/>
        </w:rPr>
        <w:t xml:space="preserve">Streaming</w:t>
      </w: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).  Keep the generation-info cell above the header — its “From … To …” line defines the export window: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工作表名不限（如 Streaming）。表头上方的生成信息必须保留——其中「From … To …」定义导出窗口：</w:t>
      </w:r>
    </w:p>
    <w:p>
      <w:pPr>
        <w:shd w:fill="f5f4f1" w:val="clear"/>
        <w:spacing w:after="160"/>
      </w:pPr>
      <w:r>
        <w:rPr>
          <w:rFonts w:ascii="Courier New" w:cs="Courier New" w:eastAsia="Courier New" w:hAnsi="Courier New"/>
          <w:color w:val="111111"/>
          <w:sz w:val="17"/>
          <w:szCs w:val="17"/>
        </w:rPr>
        <w:t xml:space="preserve">User: …  Generation date: 20/07/2026 …  Top Bloggers - From 01/01/2026 To 20/07/2026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00"/>
        <w:gridCol w:w="6110"/>
      </w:tblGrid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shd w:fill="f5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Column 列名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shd w:fill="f5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Required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shd w:fill="f5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11111"/>
                <w:sz w:val="18"/>
                <w:szCs w:val="18"/>
              </w:rPr>
              <w:t xml:space="preserve">Rule 规则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PostID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The Xiaohongshu note id: exactly 24 hexadecimal characters (e.g. 69674d92000000000c0364…). This is THE join key. Format the column as Text so Excel cannot mangle it into scientific notation.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小红书笔记 ID：24 位十六进制字符。这是最关键的关联键。请把整列设为「文本」格式，防止 Excel 转成科学计数法。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Username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The author's platform user id (24-hex). Without this column the tool cannot distinguish 无博主 from 无帖子 — do not omit or blank it.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作者的平台用户 ID（24 位十六进制）。没有这一列就无法区分「无博主」和「无帖子」——不能省略、不能留空。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Blogger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The blogger's display name as crawled.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抓取到的博主昵称。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PostDate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Crawl-recorded post date/time.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抓取记录的发帖时间。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Likes_Retweet / Share_Favorites / Engagement / Comments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必填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First-crawl engagement snapshot, whole numbers. (These are context only — the tool never uses engagement to decide a match.)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首次抓取的互动快照，整数。（仅作参考——工具绝不用互动数判断匹配。）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Link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Suggested 建议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The post URL; a hyperlink whose target embeds the note id is ideal (used as a cross-check against PostID).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帖子链接；最好是内嵌笔记 ID 的超链接（用于和 PostID 交叉校验）。</w:t>
            </w:r>
          </w:p>
        </w:tc>
      </w:tr>
      <w:tr>
        <w:tc>
          <w:tcPr>
            <w:tcW w:type="dxa" w:w="175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Export window 导出窗口</w:t>
            </w:r>
          </w:p>
        </w:tc>
        <w:tc>
          <w:tcPr>
            <w:tcW w:type="dxa" w:w="150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YES 必须</w:t>
            </w:r>
          </w:p>
        </w:tc>
        <w:tc>
          <w:tcPr>
            <w:tcW w:type="dxa" w:w="6110"/>
            <w:tcBorders>
              <w:top w:val="single" w:color="d9d6d0" w:sz="4"/>
              <w:left w:val="single" w:color="d9d6d0" w:sz="4"/>
              <w:bottom w:val="single" w:color="d9d6d0" w:sz="4"/>
              <w:right w:val="single" w:color="d9d6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Arial Unicode MS" w:hAnsi="Calibri"/>
                <w:color w:val="111111"/>
                <w:sz w:val="20"/>
                <w:szCs w:val="20"/>
              </w:rPr>
              <w:t xml:space="preserve">The From/To dates must cover every campaign post date, or posts outside them are treated as expected-missing rather than checked. (The window can be edited in-app, but an accurate export beats a patched one.)</w:t>
            </w:r>
          </w:p>
          <w:p>
            <w:pPr>
              <w:spacing w:after="0"/>
            </w:pPr>
            <w:r>
              <w:rPr>
                <w:rFonts w:ascii="Calibri" w:cs="Calibri" w:eastAsia="Arial Unicode MS" w:hAnsi="Calibri"/>
                <w:color w:val="6b6b6b"/>
                <w:sz w:val="20"/>
                <w:szCs w:val="20"/>
              </w:rPr>
              <w:t xml:space="preserve">From/To 日期必须覆盖所有投放帖子的发帖日期，否则窗口外的帖子按「预期缺失」处理、不参与核对。（窗口可在系统内修改，但导出准确永远优于事后修补。）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111111"/>
          <w:sz w:val="30"/>
          <w:szCs w:val="30"/>
        </w:rPr>
        <w:t xml:space="preserve">3. Perimeter workbook (optional) · Perimeter 名单（选交）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The LVMH workbook containing a “List Micro” sheet, with NAME and REDBOOK_ID columns and the “Date of extraction :” line above the header.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含「List Micro」工作表的 LVMH 名单文件，需有 NAME 和 REDBOOK_ID 列，表头上方保留「Date of extraction :」行。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Only China-market rows are used (IN_CHINA_REPORTS = YES, or COUNTRY = Mainland China). Send the freshest extraction — the date is shown in-app.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只使用中国市场的行（IN_CHINA_REPORTS=YES，或 COUNTRY=Mainland China）。请交最新提取的版本——提取日期会在系统中显示。</w:t>
      </w:r>
    </w:p>
    <w:p>
      <w:pPr>
        <w:pStyle w:val="Heading1"/>
        <w:spacing w:after="120" w:before="280"/>
      </w:pPr>
      <w:r>
        <w:rPr>
          <w:b/>
          <w:bCs/>
          <w:color w:val="111111"/>
          <w:sz w:val="30"/>
          <w:szCs w:val="30"/>
        </w:rPr>
        <w:t xml:space="preserve">4. Pre-send checklist · 交付前自查清单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File is .xlsx, under 25 MB, not password-protected.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文件为 .xlsx，小于 25 MB，未加密。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Headers match this rubric word-for-word.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表头与本规范逐字一致。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PLOG: every row has NAME + POST LINK; no two rows share a link.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PLOG：每行都有 NAME 和 POST LINK；没有两行共用同一链接。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PLOG: TTL ENGAGEMENT = LIKE + COLLECTION + COMMENT on every row.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PLOG：每行 TTL ENGAGEMENT 等于三项互动之和。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PLOG: FAN BASE uses one declared workbook unit; TYPE starts with 报备/软植; LEVEL uses the five allowed labels or an approved fallback placeholder.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PLOG：整份表的粉丝量使用同一个已声明单位；TYPE 以报备/软植开头；LEVEL 只用五个规定标签或允许回退的占位值。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DMR: PostID column formatted as Text, 24-hex values intact; Username column present and filled.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DMR：PostID 列为文本格式、24 位十六进制完整；Username 列存在且有值。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Arial Unicode MS" w:hAnsi="Calibri"/>
          <w:color w:val="111111"/>
          <w:sz w:val="20"/>
          <w:szCs w:val="20"/>
        </w:rPr>
        <w:t xml:space="preserve">DMR: the From/To window line is present and covers the campaign dates.</w:t>
      </w:r>
      <w:r>
        <w:rPr>
          <w:rFonts w:ascii="Calibri" w:cs="Calibri" w:eastAsia="Arial Unicode MS" w:hAnsi="Calibri"/>
          <w:color w:val="6b6b6b"/>
          <w:sz w:val="20"/>
          <w:szCs w:val="20"/>
        </w:rPr>
        <w:t xml:space="preserve">  DMR：From/To 窗口行存在，且覆盖投放日期范围。</w:t>
      </w:r>
    </w:p>
    <w:p>
      <w:pPr>
        <w:pBdr>
          <w:top w:val="single" w:color="d9d6d0" w:sz="4" w:space="6"/>
        </w:pBdr>
        <w:spacing w:before="300"/>
      </w:pPr>
      <w:r>
        <w:rPr>
          <w:rFonts w:ascii="Calibri" w:cs="Calibri" w:eastAsia="Arial Unicode MS" w:hAnsi="Calibri"/>
          <w:color w:val="6b6b6b"/>
          <w:sz w:val="17"/>
          <w:szCs w:val="17"/>
        </w:rPr>
        <w:t xml:space="preserve">Questions or a source system that cannot match this layout? Ask an administrator whether the consent-gated mapping flow is configured; the file is rejected unless the uploader opts in, Claude is available, and an administrator approves the proposal. Tell the team so this rubric can be extended.  如有疑问，或源系统实在无法输出此格式：请先让管理员确认受同意机制保护的列映射流程已配置；只有上传者明确同意、Claude 可用且管理员审核通过建议后，文件才会被接受。也请告知团队，以便扩充本规范。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4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Arial Unicode MS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2026-07-23T04:36:13.372Z</dcterms:created>
  <dcterms:modified xsi:type="dcterms:W3CDTF">2026-07-23T04:36:13.373Z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