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0"/>
        </w:rPr>
        <w:t>Response to Editor and Reviewer</w:t>
      </w:r>
    </w:p>
    <w:p>
      <w:pPr>
        <w:jc w:val="center"/>
      </w:pPr>
      <w:r>
        <w:rPr>
          <w:rFonts w:ascii="Times New Roman" w:hAnsi="Times New Roman"/>
          <w:b w:val="0"/>
          <w:i/>
          <w:sz w:val="20"/>
        </w:rPr>
        <w:t>Hearing Genomic Order: Sonifying Mutation Patterns in Xylella fastidiosa</w:t>
      </w:r>
    </w:p>
    <w:p>
      <w:r>
        <w:t>Dear Dr. Verma and Reviewer,</w:t>
      </w:r>
    </w:p>
    <w:p>
      <w:r>
        <w:t>Thank you for the encouraging evaluation and the invitation to revise and resubmit this manuscript. I retained the paper's focused conclusion—that sonification is a complementary, order-sensitive representation rather than a replacement for established bioinformatics—and expanded the manuscript in the areas identified by the review. The revised version adds practical genomic applications, a scalability analysis, broader future directions, and a conceptual workflow panel. The additions are described point by point below.</w:t>
      </w:r>
    </w:p>
    <w:p>
      <w:r>
        <w:rPr>
          <w:rFonts w:ascii="Times New Roman" w:hAnsi="Times New Roman"/>
          <w:b/>
          <w:i w:val="0"/>
          <w:sz w:val="20"/>
        </w:rPr>
        <w:t>Comment 1: The manuscript could benefit from modest expansion and a stronger connection to practical applications.</w:t>
      </w:r>
    </w:p>
    <w:p>
      <w:r>
        <w:t>Response: The Discussion now explains a realistic use pattern in which standard genomic analyses establish candidate regions and sonification provides a coordinate-linked secondary representation. New paragraphs discuss recombination screening, assembly-quality assessment, and comparative review of related bacterial genomes. Each example states what sonification could contribute and what independent evidence would still be required.</w:t>
      </w:r>
    </w:p>
    <w:p>
      <w:r>
        <w:rPr>
          <w:rFonts w:ascii="Times New Roman" w:hAnsi="Times New Roman"/>
          <w:b/>
          <w:i w:val="0"/>
          <w:sz w:val="20"/>
        </w:rPr>
        <w:t>Comment 2: Add real-world examples such as recombination detection, genome assembly validation, or comparative bacterial genomics.</w:t>
      </w:r>
    </w:p>
    <w:p>
      <w:r>
        <w:t>Response: All three examples have been added. The recombination section frames sonification as a way to inspect candidate breakpoints identified by conventional methods. The assembly-validation section discusses misassembled joins, contamination, duplication, and low-complexity transitions while requiring checks against reads, coverage, contig boundaries, and assembly graphs. The comparative-genomics section proposes coordinate-linked tracks across strains and emphasizes validation against independent annotations and false-positive reporting.</w:t>
      </w:r>
    </w:p>
    <w:p>
      <w:r>
        <w:rPr>
          <w:rFonts w:ascii="Times New Roman" w:hAnsi="Times New Roman"/>
          <w:b/>
          <w:i w:val="0"/>
          <w:sz w:val="20"/>
        </w:rPr>
        <w:t>Comment 3: Briefly discuss computational efficiency and scalability to larger genomes or eukaryotic datasets.</w:t>
      </w:r>
    </w:p>
    <w:p>
      <w:r>
        <w:t>Response: A new scalability paragraph states that feature extraction is linear in the sequence length and can be streamed by window. It quantifies that extending the present 180,000 bp sample per assembly to an approximately 2.5 Mb bacterial chromosome would process roughly fourteen times more sequence. It also acknowledges that runtime and memory were not benchmarked. For eukaryotic data, the manuscript proposes coarse-to-fine multiresolution scoring, selective sonification, parallel feature extraction, and compressed event summaries.</w:t>
      </w:r>
    </w:p>
    <w:p>
      <w:r>
        <w:rPr>
          <w:rFonts w:ascii="Times New Roman" w:hAnsi="Times New Roman"/>
          <w:b/>
          <w:i w:val="0"/>
          <w:sz w:val="20"/>
        </w:rPr>
        <w:t>Comment 4: Expand future directions to include machine learning, interactive visualization, or education.</w:t>
      </w:r>
    </w:p>
    <w:p>
      <w:r>
        <w:t>Response: The revised Discussion adds separate paragraphs on machine learning and interactive platforms. The machine-learning paragraph proposes testable supervised and unsupervised extensions with held-out genomes, interpretability, and conventional baselines. The interface paragraph links genomic coordinates, sequence or alignment data, feature plots, and audio playback. It also explains how the same interface could support education without confusing synthetic demonstrations with observed biological variation.</w:t>
      </w:r>
    </w:p>
    <w:p>
      <w:r>
        <w:rPr>
          <w:rFonts w:ascii="Times New Roman" w:hAnsi="Times New Roman"/>
          <w:b/>
          <w:i w:val="0"/>
          <w:sz w:val="20"/>
        </w:rPr>
        <w:t>Comment 5: Consider a graphical workflow or conceptual figure.</w:t>
      </w:r>
    </w:p>
    <w:p>
      <w:r>
        <w:t>Response: Figure 1 is now a two-panel display. Panel A summarizes the complete pipeline from RefSeq assemblies through windowing, deterministic pitch mapping, feature extraction, reference comparison, and ranked/MIDI outputs. Panel B retains the principal anomaly-detection result. Combining the panels improves accessibility while keeping the manuscript within the journal's limit of three total figures and tables.</w:t>
      </w:r>
    </w:p>
    <w:p>
      <w:r>
        <w:t>I appreciate the reviewer's careful reading and positive recommendation. I believe these revisions broaden the practical context while preserving the manuscript's restrained claims and reproducible experimental focus.</w:t>
      </w:r>
    </w:p>
    <w:p>
      <w:r>
        <w:t>Sincerely,</w:t>
        <w:br/>
        <w:t>Albert Zhang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b/>
      <w:bCs/>
      <w:sz w:val="2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b/>
      <w:bCs/>
      <w:sz w:val="2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after="80"/>
      <w:contextualSpacing/>
    </w:pPr>
    <w:rPr>
      <w:rFonts w:ascii="Times New Roman" w:hAnsi="Times New Roman"/>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after="80"/>
      <w:contextualSpacing/>
    </w:pPr>
    <w:rPr>
      <w:rFonts w:ascii="Times New Roman" w:hAnsi="Times New Roman"/>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