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845FB1">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845FB1">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845FB1">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845FB1">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845FB1">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845FB1">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845FB1">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845FB1">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845FB1">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845FB1">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845FB1">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845FB1">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845FB1">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79A699E3" w14:textId="579BB367" w:rsidR="00F965FA" w:rsidRDefault="005525AD" w:rsidP="00F965FA">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In order to prevent this and to protect people from harm, standards and design guidelines are published. For example Australia standard of s</w:t>
      </w:r>
      <w:r w:rsidR="009E73CA">
        <w:t xml:space="preserve">tructural design actions </w:t>
      </w:r>
      <w:r w:rsidR="009E73CA">
        <w:t>(AS 1170) [7] and</w:t>
      </w:r>
      <w:r w:rsidR="009E73CA">
        <w:t xml:space="preserve"> </w:t>
      </w:r>
      <w:r w:rsidR="009E73CA">
        <w:t>d</w:t>
      </w:r>
      <w:r w:rsidR="009E73CA">
        <w:t>esign guidelines for public cyclone shelters</w:t>
      </w:r>
      <w:r w:rsidR="009E73CA">
        <w:t xml:space="preserve">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0EF9872B" w14:textId="15C33FC2" w:rsidR="00FF54AE" w:rsidRDefault="00FF54AE" w:rsidP="00FF54AE">
      <w:pPr>
        <w:jc w:val="center"/>
      </w:pPr>
      <w:r>
        <w:rPr>
          <w:noProof/>
          <w:lang w:eastAsia="en-AU"/>
        </w:rPr>
        <w:drawing>
          <wp:inline distT="0" distB="0" distL="0" distR="0" wp14:anchorId="7E71C5B9" wp14:editId="6DBB38A6">
            <wp:extent cx="3139541" cy="178947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1972" cy="1790857"/>
                    </a:xfrm>
                    <a:prstGeom prst="rect">
                      <a:avLst/>
                    </a:prstGeom>
                  </pic:spPr>
                </pic:pic>
              </a:graphicData>
            </a:graphic>
          </wp:inline>
        </w:drawing>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0FFDFE0" w14:textId="26EE58DD" w:rsidR="000A0B94" w:rsidRDefault="000A0B94" w:rsidP="005525AD">
      <w:r>
        <w:t>Intensive researches are conduct on the composite structures.  This designing process is trying to find some suitable material and structures which has been tested by other researchers</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p>
    <w:p w14:paraId="4C2D861E" w14:textId="77777777" w:rsidR="007058FB" w:rsidRDefault="005525AD" w:rsidP="005525AD">
      <w:r>
        <w:rPr>
          <w:rFonts w:hint="eastAsia"/>
        </w:rPr>
        <w:t xml:space="preserve">ACP and Explicit Dynamic Modules </w:t>
      </w:r>
      <w:r w:rsidR="00FF54AE">
        <w:t xml:space="preserve">are used in this project </w:t>
      </w:r>
      <w:r>
        <w:rPr>
          <w:rFonts w:hint="eastAsia"/>
        </w:rPr>
        <w:t xml:space="preserve">to run the simulation. </w:t>
      </w:r>
      <w:r w:rsidR="0062788C">
        <w:t>ACP is a unique module in ANSYS, used especially for composite structures, while Explicit Dynamic module is used to run the dynamic simulation process</w:t>
      </w:r>
      <w:r w:rsidR="007058FB">
        <w:t>.</w:t>
      </w:r>
    </w:p>
    <w:p w14:paraId="204DFE98" w14:textId="097F198C" w:rsidR="005525AD" w:rsidRDefault="005525AD" w:rsidP="005525AD">
      <w:r>
        <w:rPr>
          <w:rFonts w:hint="eastAsia"/>
        </w:rPr>
        <w:t xml:space="preserve"> </w:t>
      </w:r>
      <w:r>
        <w:t xml:space="preserve">There are two kinds of impact test, high velocity impact and low velocity impact. The high velocity impact is more suitable for our inspection. But almost all high velocity tests are go-through test, and are validated by the residual velocity. </w:t>
      </w:r>
      <w:r w:rsidR="007058FB">
        <w:t xml:space="preserve">This project is </w:t>
      </w:r>
      <w:r>
        <w:t xml:space="preserve">trying to find the maximum weight and velocity of the impactor that cannot go through the board. The low velocity test uses a high weight mass dropped on the board and inspects the load and displacement. The two methods have their own weakness. They will be compared in our report, and the better model will be chosen in the final </w:t>
      </w:r>
      <w:r>
        <w:lastRenderedPageBreak/>
        <w:t xml:space="preserve">simulation. </w:t>
      </w:r>
      <w:r>
        <w:rPr>
          <w:rFonts w:hint="eastAsia"/>
        </w:rPr>
        <w:t xml:space="preserve">The first step is to model just as the </w:t>
      </w:r>
      <w:r>
        <w:t>experiments described, and validate</w:t>
      </w:r>
      <w:r>
        <w:rPr>
          <w:rFonts w:hint="eastAsia"/>
        </w:rPr>
        <w:t xml:space="preserve"> with the test data. </w:t>
      </w:r>
      <w:r>
        <w:t>If the high velocity model is chosen, the validation indicator should be residual velocity, while when using low velocity model, force-displacement data should be validated.</w:t>
      </w:r>
    </w:p>
    <w:p w14:paraId="6B2CCC02" w14:textId="77777777" w:rsidR="005525AD" w:rsidRDefault="005525AD" w:rsidP="005525AD">
      <w:r>
        <w:t>By studying the test and simulation results,</w:t>
      </w:r>
      <w:r>
        <w:rPr>
          <w:rFonts w:hint="eastAsia"/>
        </w:rPr>
        <w:t xml:space="preserve"> the material and dimension </w:t>
      </w:r>
      <w:r>
        <w:t xml:space="preserve">are determined </w:t>
      </w:r>
      <w:r>
        <w:rPr>
          <w:rFonts w:hint="eastAsia"/>
        </w:rPr>
        <w:t xml:space="preserve">in our usage, the final </w:t>
      </w:r>
      <w:r>
        <w:t>analysing</w:t>
      </w:r>
      <w:r>
        <w:rPr>
          <w:rFonts w:hint="eastAsia"/>
        </w:rPr>
        <w:t xml:space="preserve"> model</w:t>
      </w:r>
      <w:r>
        <w:t xml:space="preserve"> is built</w:t>
      </w:r>
      <w:r>
        <w:rPr>
          <w:rFonts w:hint="eastAsia"/>
        </w:rPr>
        <w:t>. The chosen indicators are: energy absorbing effectiveness, cost and the damaging situation. This model could not be validated by test data.</w:t>
      </w:r>
    </w:p>
    <w:p w14:paraId="309B4ACF" w14:textId="77777777" w:rsidR="00001752" w:rsidRDefault="00001752" w:rsidP="00001752"/>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5754E681" w14:textId="44BEF6FC" w:rsidR="0086296E" w:rsidRDefault="00845FB1" w:rsidP="00001752">
      <w:r>
        <w:t>One set of high velocity impact experiment structures and data are chosen to be simulated</w:t>
      </w:r>
      <w:bookmarkStart w:id="4" w:name="_GoBack"/>
      <w:bookmarkEnd w:id="4"/>
    </w:p>
    <w:p w14:paraId="6F1BC491" w14:textId="77777777" w:rsidR="0086296E" w:rsidRDefault="0086296E" w:rsidP="00001752"/>
    <w:p w14:paraId="1750E97C" w14:textId="48451AFD" w:rsidR="0086296E" w:rsidRDefault="0086296E" w:rsidP="00001752"/>
    <w:p w14:paraId="1E31A853" w14:textId="302ED04B" w:rsidR="0086296E" w:rsidRDefault="0086296E" w:rsidP="00001752"/>
    <w:p w14:paraId="01543D92" w14:textId="77777777" w:rsidR="00001752" w:rsidRDefault="00943693" w:rsidP="00001752">
      <w:r>
        <w:t>The first step of our task is to make sure that our simulation approach is acceptable. Then we could use this model to design our protection board. In order to do this, one set of high velocity impact experiment data</w:t>
      </w:r>
      <w:r w:rsidR="00693C57">
        <w:t xml:space="preserve"> carried out by Castillo [1]</w:t>
      </w:r>
      <w:r>
        <w:t xml:space="preserve"> is utilized. The simulation model is set up according to the experiment condition, and the simulation results are validated by the experiment data.</w:t>
      </w:r>
      <w:r w:rsidR="00693C57">
        <w:t xml:space="preserve"> </w:t>
      </w:r>
    </w:p>
    <w:p w14:paraId="17CAB0A1" w14:textId="77777777" w:rsidR="00544B85" w:rsidRDefault="00693C57" w:rsidP="00001752">
      <w:r>
        <w:t xml:space="preserve">The tested composite material board is made of 3 layers, two E-glass/polyester woven laminate face-sheets and one PVC foam core. </w:t>
      </w:r>
      <w:r w:rsidR="008707AD">
        <w:t>The thickness of face-sheet is 3 mm and the thickness of core is 30mm. The dimension of the plate is 160*160 mm</w:t>
      </w:r>
      <w:r w:rsidR="008707AD">
        <w:rPr>
          <w:vertAlign w:val="superscript"/>
        </w:rPr>
        <w:t>2</w:t>
      </w:r>
      <w:r w:rsidR="008707AD">
        <w:t>. The sandwich composite board was impacted by a steel hemispherical projectile, which is 1.7 g in weight and 7.5 mm in diameter.</w:t>
      </w:r>
      <w:r w:rsidR="0078663C">
        <w:t xml:space="preserve"> The mechanical properties of these materials are listed in table 1.</w:t>
      </w:r>
    </w:p>
    <w:p w14:paraId="55E6D8DF" w14:textId="77777777" w:rsidR="0078663C" w:rsidRDefault="0078663C" w:rsidP="00001752"/>
    <w:p w14:paraId="141AB3D3" w14:textId="77777777" w:rsidR="0078663C" w:rsidRDefault="0078663C" w:rsidP="00001752"/>
    <w:p w14:paraId="5F71687D" w14:textId="77777777" w:rsidR="0078663C" w:rsidRPr="008707AD" w:rsidRDefault="0078663C" w:rsidP="0078663C">
      <w:pPr>
        <w:spacing w:after="120"/>
        <w:jc w:val="center"/>
      </w:pPr>
      <w:r>
        <w:t>Table 1: Material Properties</w:t>
      </w:r>
    </w:p>
    <w:tbl>
      <w:tblPr>
        <w:tblW w:w="5880" w:type="dxa"/>
        <w:jc w:val="center"/>
        <w:tblLook w:val="04A0" w:firstRow="1" w:lastRow="0" w:firstColumn="1" w:lastColumn="0" w:noHBand="0" w:noVBand="1"/>
      </w:tblPr>
      <w:tblGrid>
        <w:gridCol w:w="2280"/>
        <w:gridCol w:w="960"/>
        <w:gridCol w:w="1680"/>
        <w:gridCol w:w="960"/>
      </w:tblGrid>
      <w:tr w:rsidR="0078663C" w:rsidRPr="0078663C" w14:paraId="66114860" w14:textId="77777777" w:rsidTr="006F2459">
        <w:trPr>
          <w:trHeight w:val="750"/>
          <w:jc w:val="center"/>
        </w:trPr>
        <w:tc>
          <w:tcPr>
            <w:tcW w:w="22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CC25E27" w14:textId="77777777" w:rsidR="0078663C" w:rsidRPr="0078663C" w:rsidRDefault="0078663C" w:rsidP="006F2459">
            <w:pPr>
              <w:spacing w:after="0" w:line="240" w:lineRule="auto"/>
              <w:jc w:val="center"/>
              <w:rPr>
                <w:rFonts w:ascii="Calibri" w:eastAsia="Times New Roman" w:hAnsi="Calibri" w:cs="Times New Roman"/>
                <w:color w:val="000000"/>
                <w:sz w:val="28"/>
                <w:szCs w:val="28"/>
                <w:lang w:eastAsia="en-AU"/>
              </w:rPr>
            </w:pPr>
            <w:r w:rsidRPr="0078663C">
              <w:rPr>
                <w:rFonts w:ascii="Calibri" w:eastAsia="Times New Roman" w:hAnsi="Calibri" w:cs="Times New Roman"/>
                <w:color w:val="000000"/>
                <w:sz w:val="28"/>
                <w:szCs w:val="28"/>
                <w:lang w:eastAsia="en-AU"/>
              </w:rPr>
              <w:t>Material properties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7A2B05E"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Den</w:t>
            </w:r>
            <w:r w:rsidR="00630A30">
              <w:rPr>
                <w:rFonts w:ascii="Calibri" w:eastAsia="Times New Roman" w:hAnsi="Calibri" w:cs="Times New Roman"/>
                <w:color w:val="000000"/>
                <w:lang w:eastAsia="en-AU"/>
              </w:rPr>
              <w:t>s</w:t>
            </w:r>
            <w:r w:rsidRPr="0078663C">
              <w:rPr>
                <w:rFonts w:ascii="Calibri" w:eastAsia="Times New Roman" w:hAnsi="Calibri" w:cs="Times New Roman"/>
                <w:color w:val="000000"/>
                <w:lang w:eastAsia="en-AU"/>
              </w:rPr>
              <w:t>ity</w:t>
            </w:r>
            <w:r w:rsidRPr="0078663C">
              <w:rPr>
                <w:rFonts w:ascii="Calibri" w:eastAsia="Times New Roman" w:hAnsi="Calibri" w:cs="Times New Roman"/>
                <w:color w:val="000000"/>
                <w:lang w:eastAsia="en-AU"/>
              </w:rPr>
              <w:br/>
              <w:t>kg/m^3</w:t>
            </w:r>
          </w:p>
        </w:tc>
        <w:tc>
          <w:tcPr>
            <w:tcW w:w="1680" w:type="dxa"/>
            <w:tcBorders>
              <w:top w:val="single" w:sz="8" w:space="0" w:color="auto"/>
              <w:left w:val="nil"/>
              <w:bottom w:val="single" w:sz="4" w:space="0" w:color="auto"/>
              <w:right w:val="single" w:sz="4" w:space="0" w:color="auto"/>
            </w:tcBorders>
            <w:shd w:val="clear" w:color="auto" w:fill="auto"/>
            <w:vAlign w:val="center"/>
            <w:hideMark/>
          </w:tcPr>
          <w:p w14:paraId="6754FACF"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Young's modulus</w:t>
            </w:r>
            <w:r w:rsidRPr="0078663C">
              <w:rPr>
                <w:rFonts w:ascii="Calibri" w:eastAsia="Times New Roman" w:hAnsi="Calibri" w:cs="Times New Roman"/>
                <w:color w:val="000000"/>
                <w:lang w:eastAsia="en-AU"/>
              </w:rPr>
              <w:br/>
              <w:t>M</w:t>
            </w:r>
            <w:r w:rsidR="00630A30">
              <w:rPr>
                <w:rFonts w:ascii="Calibri" w:eastAsia="Times New Roman" w:hAnsi="Calibri" w:cs="Times New Roman"/>
                <w:color w:val="000000"/>
                <w:lang w:eastAsia="en-AU"/>
              </w:rPr>
              <w:t>P</w:t>
            </w:r>
            <w:r w:rsidRPr="0078663C">
              <w:rPr>
                <w:rFonts w:ascii="Calibri" w:eastAsia="Times New Roman" w:hAnsi="Calibri" w:cs="Times New Roman"/>
                <w:color w:val="000000"/>
                <w:lang w:eastAsia="en-AU"/>
              </w:rPr>
              <w:t>a</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4226D049"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Poisson ratio</w:t>
            </w:r>
          </w:p>
        </w:tc>
      </w:tr>
      <w:tr w:rsidR="0078663C" w:rsidRPr="0078663C" w14:paraId="007172A3" w14:textId="77777777" w:rsidTr="006F2459">
        <w:trPr>
          <w:trHeight w:val="575"/>
          <w:jc w:val="center"/>
        </w:trPr>
        <w:tc>
          <w:tcPr>
            <w:tcW w:w="2280" w:type="dxa"/>
            <w:tcBorders>
              <w:top w:val="nil"/>
              <w:left w:val="single" w:sz="8" w:space="0" w:color="auto"/>
              <w:bottom w:val="single" w:sz="4" w:space="0" w:color="auto"/>
              <w:right w:val="single" w:sz="4" w:space="0" w:color="auto"/>
            </w:tcBorders>
            <w:shd w:val="clear" w:color="auto" w:fill="auto"/>
            <w:vAlign w:val="center"/>
            <w:hideMark/>
          </w:tcPr>
          <w:p w14:paraId="40126C22"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E-glass/polyester woven laminate</w:t>
            </w:r>
          </w:p>
        </w:tc>
        <w:tc>
          <w:tcPr>
            <w:tcW w:w="960" w:type="dxa"/>
            <w:tcBorders>
              <w:top w:val="nil"/>
              <w:left w:val="nil"/>
              <w:bottom w:val="single" w:sz="4" w:space="0" w:color="auto"/>
              <w:right w:val="single" w:sz="4" w:space="0" w:color="auto"/>
            </w:tcBorders>
            <w:shd w:val="clear" w:color="auto" w:fill="auto"/>
            <w:vAlign w:val="center"/>
            <w:hideMark/>
          </w:tcPr>
          <w:p w14:paraId="1DCB255A"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1800</w:t>
            </w:r>
          </w:p>
        </w:tc>
        <w:tc>
          <w:tcPr>
            <w:tcW w:w="1680" w:type="dxa"/>
            <w:tcBorders>
              <w:top w:val="nil"/>
              <w:left w:val="nil"/>
              <w:bottom w:val="single" w:sz="4" w:space="0" w:color="auto"/>
              <w:right w:val="single" w:sz="4" w:space="0" w:color="auto"/>
            </w:tcBorders>
            <w:shd w:val="clear" w:color="auto" w:fill="auto"/>
            <w:vAlign w:val="center"/>
            <w:hideMark/>
          </w:tcPr>
          <w:p w14:paraId="1564AEBC"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10100</w:t>
            </w:r>
          </w:p>
        </w:tc>
        <w:tc>
          <w:tcPr>
            <w:tcW w:w="960" w:type="dxa"/>
            <w:tcBorders>
              <w:top w:val="nil"/>
              <w:left w:val="nil"/>
              <w:bottom w:val="single" w:sz="4" w:space="0" w:color="auto"/>
              <w:right w:val="single" w:sz="8" w:space="0" w:color="auto"/>
            </w:tcBorders>
            <w:shd w:val="clear" w:color="auto" w:fill="auto"/>
            <w:vAlign w:val="center"/>
            <w:hideMark/>
          </w:tcPr>
          <w:p w14:paraId="52902F3F"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0.16</w:t>
            </w:r>
          </w:p>
        </w:tc>
      </w:tr>
      <w:tr w:rsidR="0078663C" w:rsidRPr="0078663C" w14:paraId="7C3BBB59" w14:textId="77777777" w:rsidTr="006F2459">
        <w:trPr>
          <w:trHeight w:val="315"/>
          <w:jc w:val="center"/>
        </w:trPr>
        <w:tc>
          <w:tcPr>
            <w:tcW w:w="2280" w:type="dxa"/>
            <w:tcBorders>
              <w:top w:val="nil"/>
              <w:left w:val="single" w:sz="8" w:space="0" w:color="auto"/>
              <w:bottom w:val="single" w:sz="8" w:space="0" w:color="auto"/>
              <w:right w:val="single" w:sz="4" w:space="0" w:color="auto"/>
            </w:tcBorders>
            <w:shd w:val="clear" w:color="auto" w:fill="auto"/>
            <w:vAlign w:val="center"/>
            <w:hideMark/>
          </w:tcPr>
          <w:p w14:paraId="1B47762A"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PVC Foam</w:t>
            </w:r>
          </w:p>
        </w:tc>
        <w:tc>
          <w:tcPr>
            <w:tcW w:w="960" w:type="dxa"/>
            <w:tcBorders>
              <w:top w:val="nil"/>
              <w:left w:val="nil"/>
              <w:bottom w:val="single" w:sz="8" w:space="0" w:color="auto"/>
              <w:right w:val="single" w:sz="4" w:space="0" w:color="auto"/>
            </w:tcBorders>
            <w:shd w:val="clear" w:color="auto" w:fill="auto"/>
            <w:vAlign w:val="center"/>
            <w:hideMark/>
          </w:tcPr>
          <w:p w14:paraId="1F8CDD69"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100</w:t>
            </w:r>
          </w:p>
        </w:tc>
        <w:tc>
          <w:tcPr>
            <w:tcW w:w="1680" w:type="dxa"/>
            <w:tcBorders>
              <w:top w:val="nil"/>
              <w:left w:val="nil"/>
              <w:bottom w:val="single" w:sz="8" w:space="0" w:color="auto"/>
              <w:right w:val="single" w:sz="4" w:space="0" w:color="auto"/>
            </w:tcBorders>
            <w:shd w:val="clear" w:color="auto" w:fill="auto"/>
            <w:vAlign w:val="center"/>
            <w:hideMark/>
          </w:tcPr>
          <w:p w14:paraId="7A16D44E"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102</w:t>
            </w:r>
          </w:p>
        </w:tc>
        <w:tc>
          <w:tcPr>
            <w:tcW w:w="960" w:type="dxa"/>
            <w:tcBorders>
              <w:top w:val="nil"/>
              <w:left w:val="nil"/>
              <w:bottom w:val="single" w:sz="8" w:space="0" w:color="auto"/>
              <w:right w:val="single" w:sz="8" w:space="0" w:color="auto"/>
            </w:tcBorders>
            <w:shd w:val="clear" w:color="auto" w:fill="auto"/>
            <w:vAlign w:val="center"/>
            <w:hideMark/>
          </w:tcPr>
          <w:p w14:paraId="58DB9DA5"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0.3</w:t>
            </w:r>
          </w:p>
        </w:tc>
      </w:tr>
    </w:tbl>
    <w:p w14:paraId="1A8F4191" w14:textId="77777777" w:rsidR="00544B85" w:rsidRDefault="00544B85" w:rsidP="00001752"/>
    <w:p w14:paraId="04D31173" w14:textId="7D8C3989" w:rsidR="00544B85" w:rsidRPr="00970F9C" w:rsidRDefault="00747E3A" w:rsidP="00001752">
      <w:r>
        <w:rPr>
          <w:noProof/>
          <w:lang w:eastAsia="en-AU"/>
        </w:rPr>
        <w:lastRenderedPageBreak/>
        <w:drawing>
          <wp:inline distT="0" distB="0" distL="0" distR="0" wp14:anchorId="078829B8" wp14:editId="5EDAF870">
            <wp:extent cx="5731510" cy="2113188"/>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13188"/>
                    </a:xfrm>
                    <a:prstGeom prst="rect">
                      <a:avLst/>
                    </a:prstGeom>
                  </pic:spPr>
                </pic:pic>
              </a:graphicData>
            </a:graphic>
          </wp:inline>
        </w:drawing>
      </w:r>
    </w:p>
    <w:p w14:paraId="30511DFA" w14:textId="77777777" w:rsidR="00001752" w:rsidRDefault="00001752" w:rsidP="00001752">
      <w:pPr>
        <w:pStyle w:val="Heading1"/>
        <w:spacing w:after="240"/>
      </w:pPr>
      <w:bookmarkStart w:id="5" w:name="_Toc479261287"/>
      <w:bookmarkStart w:id="6" w:name="_Toc481699519"/>
      <w:r>
        <w:t>3. Mathematical Model and Assumptions</w:t>
      </w:r>
      <w:bookmarkEnd w:id="5"/>
      <w:bookmarkEnd w:id="6"/>
    </w:p>
    <w:p w14:paraId="32F7D850" w14:textId="77777777" w:rsidR="001E3059" w:rsidRDefault="00B55963">
      <w:r>
        <w:t xml:space="preserve">In order to simulate the experiment in ANSYS, a few assumptions and simplifications need to be made. </w:t>
      </w:r>
    </w:p>
    <w:p w14:paraId="69323C64" w14:textId="77777777" w:rsidR="00630A30" w:rsidRDefault="00630A30">
      <w:r>
        <w:t xml:space="preserve">The first thing to consider about is the boundary conditions. The tested plate was fixed on the four edges by a holder, which has a 160*160 mm hole in the </w:t>
      </w:r>
      <w:proofErr w:type="spellStart"/>
      <w:r>
        <w:t>center</w:t>
      </w:r>
      <w:proofErr w:type="spellEnd"/>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4181" cy="3689611"/>
                    </a:xfrm>
                    <a:prstGeom prst="rect">
                      <a:avLst/>
                    </a:prstGeom>
                  </pic:spPr>
                </pic:pic>
              </a:graphicData>
            </a:graphic>
          </wp:inline>
        </w:drawing>
      </w:r>
    </w:p>
    <w:p w14:paraId="4069D479" w14:textId="77777777" w:rsidR="00E06C63" w:rsidRDefault="00E06C63" w:rsidP="00E06C63">
      <w:pPr>
        <w:jc w:val="center"/>
        <w:rPr>
          <w:i/>
        </w:rPr>
      </w:pPr>
      <w:r w:rsidRPr="00AC58AB">
        <w:rPr>
          <w:i/>
        </w:rPr>
        <w:t xml:space="preserve">Figure </w:t>
      </w:r>
      <w:r>
        <w:rPr>
          <w:i/>
        </w:rPr>
        <w:t>1</w:t>
      </w:r>
      <w:r w:rsidRPr="00AC58AB">
        <w:rPr>
          <w:i/>
        </w:rPr>
        <w:t>: Simplified Geometry and Boundary Conditions</w:t>
      </w:r>
    </w:p>
    <w:p w14:paraId="37090797" w14:textId="77777777" w:rsidR="007D5C93" w:rsidRDefault="007D5C93" w:rsidP="007D5C93">
      <w:pPr>
        <w:pStyle w:val="Heading1"/>
        <w:spacing w:after="240"/>
      </w:pPr>
      <w:bookmarkStart w:id="7" w:name="_Toc479261288"/>
      <w:bookmarkStart w:id="8" w:name="_Toc481699520"/>
      <w:r>
        <w:t>4. Mesh and Refinement</w:t>
      </w:r>
      <w:bookmarkEnd w:id="7"/>
      <w:bookmarkEnd w:id="8"/>
    </w:p>
    <w:p w14:paraId="7074F954" w14:textId="77777777" w:rsidR="006B45A5" w:rsidRDefault="006B45A5" w:rsidP="006B45A5">
      <w:pPr>
        <w:pStyle w:val="Heading2"/>
        <w:spacing w:after="120"/>
      </w:pPr>
      <w:bookmarkStart w:id="9" w:name="_Toc479261289"/>
      <w:bookmarkStart w:id="10" w:name="_Toc481699521"/>
      <w:r>
        <w:t>4.1 Mesh</w:t>
      </w:r>
      <w:bookmarkEnd w:id="9"/>
      <w:r>
        <w:t xml:space="preserve"> Method</w:t>
      </w:r>
      <w:bookmarkEnd w:id="10"/>
    </w:p>
    <w:p w14:paraId="528E04AD" w14:textId="77777777" w:rsidR="00D12AB8" w:rsidRDefault="007D5C93" w:rsidP="007D5C93">
      <w:r>
        <w:t xml:space="preserve">When we are trying to set the meshes </w:t>
      </w:r>
      <w:r w:rsidR="00D12AB8">
        <w:t>of the</w:t>
      </w:r>
      <w:r>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77777777" w:rsidR="00530118" w:rsidRDefault="00530118" w:rsidP="007D5C93">
      <w:r>
        <w:t xml:space="preserve">The projectile ball is hard to set as structured mesh. It is not our main investigate target and its mesh would 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77777777" w:rsidR="00530118" w:rsidRDefault="00530118" w:rsidP="00530118">
      <w:pPr>
        <w:spacing w:after="0"/>
        <w:jc w:val="center"/>
      </w:pPr>
      <w:r>
        <w:rPr>
          <w:noProof/>
          <w:lang w:eastAsia="en-AU"/>
        </w:rPr>
        <w:lastRenderedPageBreak/>
        <w:drawing>
          <wp:inline distT="0" distB="0" distL="0" distR="0" wp14:anchorId="715D6D4D" wp14:editId="283718EA">
            <wp:extent cx="3771900" cy="3501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5496" cy="3504435"/>
                    </a:xfrm>
                    <a:prstGeom prst="rect">
                      <a:avLst/>
                    </a:prstGeom>
                  </pic:spPr>
                </pic:pic>
              </a:graphicData>
            </a:graphic>
          </wp:inline>
        </w:drawing>
      </w:r>
    </w:p>
    <w:p w14:paraId="3B9C34AA" w14:textId="77777777" w:rsidR="00530118" w:rsidRPr="004653CF" w:rsidRDefault="00530118" w:rsidP="00530118">
      <w:pPr>
        <w:jc w:val="center"/>
        <w:rPr>
          <w:i/>
        </w:rPr>
      </w:pPr>
      <w:r>
        <w:rPr>
          <w:i/>
        </w:rPr>
        <w:t>Figure 2: Unstructured Mesh and Structured Mesh</w:t>
      </w:r>
    </w:p>
    <w:p w14:paraId="729D2157" w14:textId="77777777" w:rsidR="006B45A5" w:rsidRDefault="006B45A5" w:rsidP="006B45A5">
      <w:pPr>
        <w:pStyle w:val="Heading2"/>
        <w:spacing w:after="120"/>
      </w:pPr>
      <w:bookmarkStart w:id="11" w:name="_Toc481699522"/>
      <w:r>
        <w:t>4.2 Mesh Refinement</w:t>
      </w:r>
      <w:bookmarkEnd w:id="11"/>
    </w:p>
    <w:p w14:paraId="111500AB" w14:textId="77777777" w:rsidR="00544B85" w:rsidRDefault="00E06A6F">
      <w:r>
        <w:t xml:space="preserve">The purpose of the experiment simulation is to develop a reliable model. The residual velocity is set to be the validation data. In consider of this, the residual velocity of the projectile is used here as the mesh refinement indicator. </w:t>
      </w:r>
    </w:p>
    <w:p w14:paraId="6DC74F8C" w14:textId="77777777" w:rsidR="003701E4" w:rsidRDefault="003701E4">
      <w:r>
        <w:t>When the initial inlet velocity is set to a certain value, 400 m/s here, it is clear that as the mesh element number increases, the residual velocity converged to a certain value. More element takes more calculation time, especially in the transient analyses case. A compromise needs to be made between accuracy and time consuming.</w:t>
      </w:r>
    </w:p>
    <w:p w14:paraId="1243AD3E" w14:textId="77777777" w:rsidR="003701E4" w:rsidRDefault="003701E4">
      <w:r>
        <w:t>The 30,000 element model is chosen in this project, as it relatively accurate and took a reasonable time (about 20 minutes) to solve the results.</w:t>
      </w:r>
    </w:p>
    <w:p w14:paraId="4959CEE8" w14:textId="20801451" w:rsidR="003701E4" w:rsidRPr="003701E4" w:rsidRDefault="00C96AFF" w:rsidP="003701E4">
      <w:pPr>
        <w:spacing w:after="0"/>
        <w:jc w:val="center"/>
        <w:rPr>
          <w:highlight w:val="yellow"/>
        </w:rPr>
      </w:pPr>
      <w:r>
        <w:rPr>
          <w:noProof/>
          <w:lang w:eastAsia="en-AU"/>
        </w:rPr>
        <w:lastRenderedPageBreak/>
        <w:drawing>
          <wp:inline distT="0" distB="0" distL="0" distR="0" wp14:anchorId="2BEE4E32" wp14:editId="703A98DF">
            <wp:extent cx="4657725" cy="2814638"/>
            <wp:effectExtent l="0" t="0" r="9525"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637AA4" w14:textId="77777777" w:rsidR="003701E4" w:rsidRPr="00D659EA" w:rsidRDefault="003701E4" w:rsidP="003701E4">
      <w:pPr>
        <w:jc w:val="center"/>
        <w:rPr>
          <w:i/>
        </w:rPr>
      </w:pPr>
      <w:r w:rsidRPr="00C96AFF">
        <w:rPr>
          <w:i/>
        </w:rPr>
        <w:t xml:space="preserve">Figure 3: Mesh Convergence </w:t>
      </w:r>
    </w:p>
    <w:p w14:paraId="2464AFAF" w14:textId="77777777" w:rsidR="003701E4" w:rsidRDefault="003701E4"/>
    <w:p w14:paraId="45B498B4" w14:textId="77777777" w:rsidR="003701E4" w:rsidRDefault="003701E4" w:rsidP="003701E4">
      <w:pPr>
        <w:pStyle w:val="Heading1"/>
        <w:spacing w:after="240"/>
      </w:pPr>
      <w:bookmarkStart w:id="12" w:name="_Toc479261292"/>
      <w:bookmarkStart w:id="13" w:name="_Toc481699523"/>
      <w:r>
        <w:t>5. Results</w:t>
      </w:r>
      <w:bookmarkEnd w:id="12"/>
      <w:bookmarkEnd w:id="13"/>
    </w:p>
    <w:p w14:paraId="3C52F9D9" w14:textId="77777777" w:rsidR="00544B85" w:rsidRDefault="003736A0">
      <w:r>
        <w:t xml:space="preserve">Figure 4 shows the stress distribution after the impact of 360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 xml:space="preserve">the velocity of the projectile dropped from the 360 m/s to 5 m/s. This means that 360 m/s could be taken as the ballistic limit.  </w:t>
      </w:r>
    </w:p>
    <w:p w14:paraId="5647C61C" w14:textId="77777777" w:rsidR="00FB2384" w:rsidRDefault="00FB2384" w:rsidP="00FB2384">
      <w:pPr>
        <w:jc w:val="center"/>
      </w:pPr>
      <w:r>
        <w:rPr>
          <w:noProof/>
          <w:lang w:eastAsia="en-AU"/>
        </w:rPr>
        <w:drawing>
          <wp:inline distT="0" distB="0" distL="0" distR="0" wp14:anchorId="35B38E06" wp14:editId="445C5E56">
            <wp:extent cx="3859618" cy="309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4518" cy="3095525"/>
                    </a:xfrm>
                    <a:prstGeom prst="rect">
                      <a:avLst/>
                    </a:prstGeom>
                  </pic:spPr>
                </pic:pic>
              </a:graphicData>
            </a:graphic>
          </wp:inline>
        </w:drawing>
      </w:r>
    </w:p>
    <w:p w14:paraId="1A87F691" w14:textId="77777777" w:rsidR="00FB2384" w:rsidRPr="004653CF" w:rsidRDefault="00FB2384" w:rsidP="00FB2384">
      <w:pPr>
        <w:jc w:val="center"/>
        <w:rPr>
          <w:i/>
        </w:rPr>
      </w:pPr>
      <w:r>
        <w:rPr>
          <w:i/>
        </w:rPr>
        <w:t>Figure 4: Stress distribution</w:t>
      </w:r>
    </w:p>
    <w:p w14:paraId="6D0ADCB5" w14:textId="77777777" w:rsidR="00FB2384" w:rsidRDefault="00335174">
      <w:r>
        <w:lastRenderedPageBreak/>
        <w:t xml:space="preserve">The impact velocity was changed from 80 m/s to 600 m/s to find out its corresponding residual velocity. </w:t>
      </w:r>
      <w:r w:rsidR="00890E99">
        <w:t>T</w:t>
      </w:r>
      <w:r>
        <w:t xml:space="preserve">he results are shown in figure </w:t>
      </w:r>
      <w:r w:rsidR="001F3B6C">
        <w:t>6</w:t>
      </w:r>
      <w:r>
        <w:t xml:space="preserve">. </w:t>
      </w:r>
      <w:r w:rsidR="00890E99">
        <w:t xml:space="preserve">It could be confirmed again that the ballistic limit is around 360 m/s. If the projectile has lower initial velocity than this, it could not go through this composite board and will stuck in the material. The purpose of this project is to </w:t>
      </w:r>
      <w:r w:rsidR="005A27E0">
        <w:t>design</w:t>
      </w:r>
      <w:r w:rsidR="006B45A5">
        <w:t xml:space="preserve"> a light enough composite material board which has a higher ballistic limit to withstand the debris shock during storms.</w:t>
      </w:r>
    </w:p>
    <w:p w14:paraId="54C20942" w14:textId="77777777" w:rsidR="001F3B6C" w:rsidRDefault="001F3B6C" w:rsidP="001F3B6C">
      <w:pPr>
        <w:spacing w:after="0"/>
        <w:jc w:val="center"/>
      </w:pPr>
      <w:r>
        <w:rPr>
          <w:noProof/>
          <w:lang w:eastAsia="en-AU"/>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9847" cy="2161682"/>
                    </a:xfrm>
                    <a:prstGeom prst="rect">
                      <a:avLst/>
                    </a:prstGeom>
                  </pic:spPr>
                </pic:pic>
              </a:graphicData>
            </a:graphic>
          </wp:inline>
        </w:drawing>
      </w:r>
    </w:p>
    <w:p w14:paraId="32EA0C68" w14:textId="77777777" w:rsidR="001F3B6C" w:rsidRPr="006A518A" w:rsidRDefault="001F3B6C" w:rsidP="001F3B6C">
      <w:pPr>
        <w:jc w:val="center"/>
        <w:rPr>
          <w:i/>
        </w:rPr>
      </w:pPr>
      <w:r>
        <w:rPr>
          <w:i/>
        </w:rPr>
        <w:t>Figure 5: Velocity of the Projectile through Time</w:t>
      </w:r>
    </w:p>
    <w:p w14:paraId="57EACD0B" w14:textId="77777777" w:rsidR="001F3B6C" w:rsidRDefault="001F3B6C"/>
    <w:p w14:paraId="65C901F9" w14:textId="77777777" w:rsidR="005A27E0" w:rsidRDefault="005A27E0" w:rsidP="005A27E0">
      <w:pPr>
        <w:pStyle w:val="Heading1"/>
        <w:spacing w:after="240"/>
      </w:pPr>
      <w:bookmarkStart w:id="14" w:name="_Toc481699524"/>
      <w:bookmarkStart w:id="15" w:name="_Toc479261293"/>
      <w:r>
        <w:t>6. Validation</w:t>
      </w:r>
      <w:bookmarkEnd w:id="14"/>
      <w:r>
        <w:t xml:space="preserve"> </w:t>
      </w:r>
      <w:bookmarkEnd w:id="15"/>
    </w:p>
    <w:p w14:paraId="6B5DABA2" w14:textId="77777777" w:rsidR="006A518A" w:rsidRDefault="005A27E0">
      <w:r>
        <w:t xml:space="preserve">The validation process is to make sure that our simulation could represent reality. The most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p w14:paraId="53EF124C" w14:textId="25D0DC3F" w:rsidR="006A518A" w:rsidRDefault="00D9328E" w:rsidP="006A518A">
      <w:pPr>
        <w:spacing w:after="0"/>
        <w:jc w:val="center"/>
      </w:pPr>
      <w:r>
        <w:rPr>
          <w:noProof/>
          <w:lang w:eastAsia="en-AU"/>
        </w:rPr>
        <w:lastRenderedPageBreak/>
        <w:drawing>
          <wp:inline distT="0" distB="0" distL="0" distR="0" wp14:anchorId="589E2B8F" wp14:editId="13E8EF06">
            <wp:extent cx="4580878" cy="2821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3754" cy="2823453"/>
                    </a:xfrm>
                    <a:prstGeom prst="rect">
                      <a:avLst/>
                    </a:prstGeom>
                  </pic:spPr>
                </pic:pic>
              </a:graphicData>
            </a:graphic>
          </wp:inline>
        </w:drawing>
      </w:r>
    </w:p>
    <w:p w14:paraId="159DC79A" w14:textId="77777777" w:rsidR="006A518A" w:rsidRPr="006A518A" w:rsidRDefault="006A518A" w:rsidP="006A518A">
      <w:pPr>
        <w:jc w:val="center"/>
        <w:rPr>
          <w:i/>
        </w:rPr>
      </w:pPr>
      <w:r>
        <w:rPr>
          <w:i/>
        </w:rPr>
        <w:t xml:space="preserve">Figure </w:t>
      </w:r>
      <w:r w:rsidR="001F3B6C">
        <w:rPr>
          <w:i/>
        </w:rPr>
        <w:t>6</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7777777" w:rsidR="00E77848" w:rsidRDefault="00E77848" w:rsidP="00E77848">
      <w:pPr>
        <w:pStyle w:val="Heading1"/>
        <w:spacing w:after="240"/>
      </w:pPr>
      <w:bookmarkStart w:id="16" w:name="_Toc481699525"/>
      <w:r>
        <w:t>7. Window protection board design</w:t>
      </w:r>
      <w:bookmarkEnd w:id="16"/>
      <w:r>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77777777" w:rsidR="00943693" w:rsidRDefault="00E77848">
      <w:r>
        <w:t xml:space="preserve">The design process is similar to the former part. Firstly, </w:t>
      </w:r>
      <w:r w:rsidR="00776643">
        <w:t>a board model needs to be built according to the geometry of a window. Then make appropriate boundary conditions and initial conditions. Thirdly, it’s the meshing process and at last, solution and result discussion. This process is run multi times with different core thickness, until the best value is found.</w:t>
      </w:r>
    </w:p>
    <w:p w14:paraId="12DC9449" w14:textId="77777777" w:rsidR="00776643" w:rsidRDefault="00776643" w:rsidP="00776643">
      <w:pPr>
        <w:pStyle w:val="Heading2"/>
        <w:spacing w:after="120"/>
      </w:pPr>
      <w:bookmarkStart w:id="17" w:name="_Toc481699526"/>
      <w:r>
        <w:t>7.1 Model of Window Protection Board</w:t>
      </w:r>
      <w:bookmarkEnd w:id="17"/>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0B0D60B0" w14:textId="77777777" w:rsidR="005605B2" w:rsidRDefault="005605B2">
      <w:r>
        <w:t xml:space="preserve">According to the </w:t>
      </w:r>
      <w:r w:rsidR="00DF712F">
        <w:t xml:space="preserve">Design guidelines for Queensland public cyclone shelters </w:t>
      </w:r>
      <w:r>
        <w:t>[</w:t>
      </w:r>
      <w:r w:rsidR="00DF712F">
        <w:t>5</w:t>
      </w:r>
      <w:r>
        <w:t xml:space="preserve">], </w:t>
      </w:r>
      <w:r w:rsidR="00DF712F">
        <w:t>i</w:t>
      </w:r>
      <w:r>
        <w:t xml:space="preserve">n Queensland’s tropical cyclone region, </w:t>
      </w:r>
      <w:r w:rsidR="00DF712F">
        <w:t>the 1 in 10,0</w:t>
      </w:r>
      <w:r w:rsidR="00C13D0A">
        <w:t>0</w:t>
      </w:r>
      <w:r w:rsidR="00DF712F">
        <w:t xml:space="preserve">0 </w:t>
      </w:r>
      <w:r w:rsidR="00EB2808">
        <w:t>years’</w:t>
      </w:r>
      <w:r w:rsidR="00DF712F">
        <w:t xml:space="preserve"> probability based criterion, V</w:t>
      </w:r>
      <w:r w:rsidR="00DF712F">
        <w:rPr>
          <w:vertAlign w:val="subscript"/>
        </w:rPr>
        <w:t>10,00</w:t>
      </w:r>
      <w:r w:rsidR="00DF712F">
        <w:t xml:space="preserve"> is 306 km/hr, which equals to 85 m/s. This design guideline also set two debris loads criteria for public cyclone shelters:</w:t>
      </w:r>
    </w:p>
    <w:p w14:paraId="1B430759" w14:textId="77777777" w:rsidR="00DF712F" w:rsidRDefault="00DF712F" w:rsidP="00DF712F">
      <w:pPr>
        <w:pStyle w:val="ListParagraph"/>
        <w:numPr>
          <w:ilvl w:val="0"/>
          <w:numId w:val="1"/>
        </w:numPr>
      </w:pPr>
      <w:r>
        <w:t>Five spherical steel balls of 2 grams mass (8 mm diameter)</w:t>
      </w:r>
      <w:r w:rsidR="00C13D0A">
        <w:t xml:space="preserve"> impacting at 0.4 *</w:t>
      </w:r>
      <w:r w:rsidR="00C13D0A" w:rsidRPr="00C13D0A">
        <w:t xml:space="preserve"> </w:t>
      </w:r>
      <w:r w:rsidR="00C13D0A">
        <w:t>V</w:t>
      </w:r>
      <w:r w:rsidR="00C13D0A">
        <w:rPr>
          <w:vertAlign w:val="subscript"/>
        </w:rPr>
        <w:t>10,00</w:t>
      </w:r>
      <w:r w:rsidR="00C13D0A">
        <w:t xml:space="preserve"> (34 m/s) for horizontal trajectories and 0.3 *</w:t>
      </w:r>
      <w:r w:rsidR="00C13D0A" w:rsidRPr="00C13D0A">
        <w:t xml:space="preserve"> </w:t>
      </w:r>
      <w:r w:rsidR="00C13D0A">
        <w:t>V</w:t>
      </w:r>
      <w:r w:rsidR="00C13D0A">
        <w:rPr>
          <w:vertAlign w:val="subscript"/>
        </w:rPr>
        <w:t>10,00</w:t>
      </w:r>
      <w:r w:rsidR="00C13D0A">
        <w:t xml:space="preserve"> (25.5 m/s)for vertical trajectories;</w:t>
      </w:r>
    </w:p>
    <w:p w14:paraId="757D98C7" w14:textId="77777777" w:rsidR="00C13D0A" w:rsidRPr="00DF712F" w:rsidRDefault="00C13D0A" w:rsidP="00DF712F">
      <w:pPr>
        <w:pStyle w:val="ListParagraph"/>
        <w:numPr>
          <w:ilvl w:val="0"/>
          <w:numId w:val="1"/>
        </w:numPr>
      </w:pPr>
      <w:r>
        <w:t>A 100 mm * 50 mm piece of timber of 4 kg impacting end-on at 0.4 *</w:t>
      </w:r>
      <w:r w:rsidRPr="00C13D0A">
        <w:t xml:space="preserve"> </w:t>
      </w:r>
      <w:r>
        <w:t>V</w:t>
      </w:r>
      <w:r>
        <w:rPr>
          <w:vertAlign w:val="subscript"/>
        </w:rPr>
        <w:t>10</w:t>
      </w:r>
      <w:proofErr w:type="gramStart"/>
      <w:r>
        <w:rPr>
          <w:vertAlign w:val="subscript"/>
        </w:rPr>
        <w:t>,00</w:t>
      </w:r>
      <w:proofErr w:type="gramEnd"/>
      <w:r>
        <w:t xml:space="preserve"> for horizontal trajectories and 0.1*</w:t>
      </w:r>
      <w:r w:rsidRPr="00C13D0A">
        <w:t xml:space="preserve"> </w:t>
      </w:r>
      <w:r>
        <w:t>V</w:t>
      </w:r>
      <w:r>
        <w:rPr>
          <w:vertAlign w:val="subscript"/>
        </w:rPr>
        <w:t>10,00</w:t>
      </w:r>
      <w:r>
        <w:t xml:space="preserve"> (8.5 m/s)for vertical trajectories.</w:t>
      </w:r>
    </w:p>
    <w:p w14:paraId="6E5AF404" w14:textId="77777777" w:rsidR="00776643" w:rsidRDefault="00C13D0A">
      <w:r>
        <w:t xml:space="preserve">The first criterion is taken in this project. Five steel balls of 2 grams mass are simplified as one ball of 10 grams (20 mm diameter). Take five projectile into one should be more dangerous for the protection board, so this simplification is </w:t>
      </w:r>
      <w:r w:rsidR="00381C88">
        <w:t xml:space="preserve">considered to be </w:t>
      </w:r>
      <w:r>
        <w:t>safe.</w:t>
      </w:r>
    </w:p>
    <w:p w14:paraId="325022AF" w14:textId="77777777" w:rsidR="00381C88" w:rsidRDefault="00381C88">
      <w:r>
        <w:lastRenderedPageBreak/>
        <w:t xml:space="preserve">The boundary conditions are the same as the former model: fixed support on the four edges. This model is also symmetrised along the two </w:t>
      </w:r>
      <w:proofErr w:type="spellStart"/>
      <w:r>
        <w:t>center</w:t>
      </w:r>
      <w:proofErr w:type="spellEnd"/>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eastAsia="en-AU"/>
        </w:rPr>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77777777" w:rsidR="00776643" w:rsidRDefault="00381C88" w:rsidP="00381C88">
      <w:pPr>
        <w:jc w:val="center"/>
      </w:pPr>
      <w:r>
        <w:rPr>
          <w:i/>
        </w:rPr>
        <w:t xml:space="preserve">Figure 7: Geometry and Boundary Conditions of </w:t>
      </w:r>
      <w:proofErr w:type="gramStart"/>
      <w:r>
        <w:rPr>
          <w:i/>
        </w:rPr>
        <w:t>The</w:t>
      </w:r>
      <w:proofErr w:type="gramEnd"/>
      <w:r>
        <w:rPr>
          <w:i/>
        </w:rPr>
        <w:t xml:space="preserve"> Protection Board Model</w:t>
      </w:r>
    </w:p>
    <w:p w14:paraId="7E5750C6" w14:textId="77777777" w:rsidR="00776643" w:rsidRDefault="00776643"/>
    <w:p w14:paraId="76C2B037" w14:textId="77777777" w:rsidR="00776643" w:rsidRDefault="00776643" w:rsidP="00776643">
      <w:pPr>
        <w:pStyle w:val="Heading2"/>
        <w:spacing w:after="120"/>
      </w:pPr>
      <w:bookmarkStart w:id="18" w:name="_Toc481699527"/>
      <w:r>
        <w:t>7.2 Mesh and refinement</w:t>
      </w:r>
      <w:bookmarkEnd w:id="18"/>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eastAsia="en-AU"/>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eastAsia="en-AU"/>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4C73CC1B" w14:textId="77777777" w:rsidR="00CF0A14" w:rsidRDefault="00CF0A14"/>
    <w:p w14:paraId="116A0E9D" w14:textId="77777777" w:rsidR="00CF0A14" w:rsidRDefault="00CF0A14" w:rsidP="00CF0A14">
      <w:pPr>
        <w:pStyle w:val="Heading2"/>
        <w:spacing w:after="120"/>
      </w:pPr>
      <w:bookmarkStart w:id="19" w:name="_Toc481699528"/>
      <w:r>
        <w:lastRenderedPageBreak/>
        <w:t>7.3 Results and Discussion</w:t>
      </w:r>
      <w:bookmarkEnd w:id="19"/>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 xml:space="preserve">Seen from figure 11, the critical core thickness is around 10 mm. </w:t>
      </w:r>
      <w:proofErr w:type="gramStart"/>
      <w:r>
        <w:t>Multiply</w:t>
      </w:r>
      <w:proofErr w:type="gramEnd"/>
      <w:r>
        <w:t xml:space="preserve">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lastRenderedPageBreak/>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77777777" w:rsidR="00CF0A14" w:rsidRDefault="00CF0A14" w:rsidP="00CF0A14">
      <w:pPr>
        <w:pStyle w:val="Heading1"/>
        <w:spacing w:after="240"/>
      </w:pPr>
      <w:bookmarkStart w:id="20" w:name="_Toc481699529"/>
      <w:r>
        <w:t>8. Conclusion</w:t>
      </w:r>
      <w:bookmarkEnd w:id="20"/>
      <w:r>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w:t>
      </w:r>
      <w:proofErr w:type="gramStart"/>
      <w:r>
        <w:rPr>
          <w:rFonts w:hint="eastAsia"/>
          <w:lang w:eastAsia="zh-CN"/>
        </w:rPr>
        <w:t>now,</w:t>
      </w:r>
      <w:proofErr w:type="gramEnd"/>
      <w:r>
        <w:rPr>
          <w:rFonts w:hint="eastAsia"/>
          <w:lang w:eastAsia="zh-CN"/>
        </w:rPr>
        <w:t xml:space="preserve">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w:t>
      </w:r>
      <w:proofErr w:type="spellStart"/>
      <w:r>
        <w:t>Gastillo</w:t>
      </w:r>
      <w:proofErr w:type="spellEnd"/>
      <w:r>
        <w:t xml:space="preserve">,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772A8B77" w14:textId="77777777" w:rsidR="00DF712F" w:rsidRDefault="00DF712F">
      <w:r>
        <w:t xml:space="preserve">[5] </w:t>
      </w:r>
      <w:proofErr w:type="spellStart"/>
      <w:r>
        <w:t>Mulins</w:t>
      </w:r>
      <w:proofErr w:type="spellEnd"/>
      <w:r>
        <w:t xml:space="preserve"> consulting Pty Ltd, Design guidelines for Queensland public cyclone shelters, 2006</w:t>
      </w:r>
    </w:p>
    <w:p w14:paraId="363542FA" w14:textId="77777777" w:rsidR="005605B2" w:rsidRDefault="005605B2">
      <w:r>
        <w:t>[</w:t>
      </w:r>
      <w:r w:rsidR="00DF712F">
        <w:t>6</w:t>
      </w:r>
      <w:r>
        <w:t xml:space="preserve">] Ulrich Frye, Simulated wind driven debris impact testing of </w:t>
      </w:r>
      <w:proofErr w:type="spellStart"/>
      <w:r>
        <w:t>crimsafe</w:t>
      </w:r>
      <w:proofErr w:type="spellEnd"/>
      <w:r>
        <w:t xml:space="preserve"> debris screen, 2010</w:t>
      </w:r>
    </w:p>
    <w:p w14:paraId="39B97169" w14:textId="48175FF5" w:rsidR="009E73CA" w:rsidRDefault="009E73CA" w:rsidP="009E73CA">
      <w:r>
        <w:t>[</w:t>
      </w:r>
      <w:r>
        <w:t>7</w:t>
      </w:r>
      <w:r>
        <w:t xml:space="preserve">] </w:t>
      </w:r>
      <w:r>
        <w:t>Standards Australia, Standards New Zealand, AS 1170.2:2011 Structural design actions Part 2: Wind actions, 2011</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A0B94"/>
    <w:rsid w:val="0019187F"/>
    <w:rsid w:val="001E3059"/>
    <w:rsid w:val="001F3B6C"/>
    <w:rsid w:val="00335174"/>
    <w:rsid w:val="003701E4"/>
    <w:rsid w:val="003736A0"/>
    <w:rsid w:val="00381C88"/>
    <w:rsid w:val="003E7CF8"/>
    <w:rsid w:val="004C5551"/>
    <w:rsid w:val="00530118"/>
    <w:rsid w:val="00544B85"/>
    <w:rsid w:val="005525AD"/>
    <w:rsid w:val="005605B2"/>
    <w:rsid w:val="005A27E0"/>
    <w:rsid w:val="005E1A34"/>
    <w:rsid w:val="006243B8"/>
    <w:rsid w:val="0062788C"/>
    <w:rsid w:val="00630A30"/>
    <w:rsid w:val="00690496"/>
    <w:rsid w:val="00693C57"/>
    <w:rsid w:val="006A518A"/>
    <w:rsid w:val="006B45A5"/>
    <w:rsid w:val="006D276B"/>
    <w:rsid w:val="006F2459"/>
    <w:rsid w:val="006F79D0"/>
    <w:rsid w:val="007058FB"/>
    <w:rsid w:val="00747E3A"/>
    <w:rsid w:val="00776643"/>
    <w:rsid w:val="0078663C"/>
    <w:rsid w:val="007D5C93"/>
    <w:rsid w:val="00813CB7"/>
    <w:rsid w:val="00845FB1"/>
    <w:rsid w:val="00846A91"/>
    <w:rsid w:val="0086296E"/>
    <w:rsid w:val="008707AD"/>
    <w:rsid w:val="00890E99"/>
    <w:rsid w:val="00943693"/>
    <w:rsid w:val="009E73CA"/>
    <w:rsid w:val="00A30E2A"/>
    <w:rsid w:val="00AE63FA"/>
    <w:rsid w:val="00AF0855"/>
    <w:rsid w:val="00B55963"/>
    <w:rsid w:val="00BB5DCD"/>
    <w:rsid w:val="00C13D0A"/>
    <w:rsid w:val="00C96AFF"/>
    <w:rsid w:val="00CF0A14"/>
    <w:rsid w:val="00D12AB8"/>
    <w:rsid w:val="00D211C0"/>
    <w:rsid w:val="00D3759B"/>
    <w:rsid w:val="00D8728D"/>
    <w:rsid w:val="00D9328E"/>
    <w:rsid w:val="00DA10FA"/>
    <w:rsid w:val="00DD4093"/>
    <w:rsid w:val="00DD5B57"/>
    <w:rsid w:val="00DF712F"/>
    <w:rsid w:val="00E06A6F"/>
    <w:rsid w:val="00E06C63"/>
    <w:rsid w:val="00E25EE1"/>
    <w:rsid w:val="00E46C0D"/>
    <w:rsid w:val="00E65AF6"/>
    <w:rsid w:val="00E77848"/>
    <w:rsid w:val="00EB2808"/>
    <w:rsid w:val="00F24638"/>
    <w:rsid w:val="00F3151C"/>
    <w:rsid w:val="00F566E8"/>
    <w:rsid w:val="00F965FA"/>
    <w:rsid w:val="00FB2384"/>
    <w:rsid w:val="00FE4F4E"/>
    <w:rsid w:val="00FF54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5690</c:v>
                </c:pt>
                <c:pt idx="1">
                  <c:v>8840</c:v>
                </c:pt>
                <c:pt idx="2">
                  <c:v>11231</c:v>
                </c:pt>
                <c:pt idx="3">
                  <c:v>22580</c:v>
                </c:pt>
                <c:pt idx="4">
                  <c:v>30560</c:v>
                </c:pt>
                <c:pt idx="5">
                  <c:v>40281</c:v>
                </c:pt>
              </c:numCache>
            </c:numRef>
          </c:xVal>
          <c:yVal>
            <c:numRef>
              <c:f>Sheet1!$Q$32:$Q$37</c:f>
              <c:numCache>
                <c:formatCode>General</c:formatCode>
                <c:ptCount val="6"/>
                <c:pt idx="0">
                  <c:v>220</c:v>
                </c:pt>
                <c:pt idx="1">
                  <c:v>200</c:v>
                </c:pt>
                <c:pt idx="2">
                  <c:v>194</c:v>
                </c:pt>
                <c:pt idx="3">
                  <c:v>192</c:v>
                </c:pt>
                <c:pt idx="4">
                  <c:v>191</c:v>
                </c:pt>
                <c:pt idx="5">
                  <c:v>190</c:v>
                </c:pt>
              </c:numCache>
            </c:numRef>
          </c:yVal>
          <c:smooth val="1"/>
        </c:ser>
        <c:dLbls>
          <c:showLegendKey val="0"/>
          <c:showVal val="0"/>
          <c:showCatName val="0"/>
          <c:showSerName val="0"/>
          <c:showPercent val="0"/>
          <c:showBubbleSize val="0"/>
        </c:dLbls>
        <c:axId val="190859520"/>
        <c:axId val="194134400"/>
      </c:scatterChart>
      <c:valAx>
        <c:axId val="190859520"/>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94134400"/>
        <c:crosses val="autoZero"/>
        <c:crossBetween val="midCat"/>
      </c:valAx>
      <c:valAx>
        <c:axId val="194134400"/>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1908595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c:v>
                </c:pt>
                <c:pt idx="1">
                  <c:v>8840</c:v>
                </c:pt>
                <c:pt idx="2">
                  <c:v>12920</c:v>
                </c:pt>
                <c:pt idx="3">
                  <c:v>22580</c:v>
                </c:pt>
                <c:pt idx="4">
                  <c:v>30560</c:v>
                </c:pt>
              </c:numCache>
            </c:numRef>
          </c:xVal>
          <c:yVal>
            <c:numRef>
              <c:f>Sheet1!$B$33:$B$37</c:f>
              <c:numCache>
                <c:formatCode>General</c:formatCode>
                <c:ptCount val="5"/>
                <c:pt idx="0">
                  <c:v>230</c:v>
                </c:pt>
                <c:pt idx="1">
                  <c:v>220</c:v>
                </c:pt>
                <c:pt idx="2">
                  <c:v>212</c:v>
                </c:pt>
                <c:pt idx="3">
                  <c:v>210</c:v>
                </c:pt>
                <c:pt idx="4">
                  <c:v>209</c:v>
                </c:pt>
              </c:numCache>
            </c:numRef>
          </c:yVal>
          <c:smooth val="1"/>
        </c:ser>
        <c:dLbls>
          <c:showLegendKey val="0"/>
          <c:showVal val="0"/>
          <c:showCatName val="0"/>
          <c:showSerName val="0"/>
          <c:showPercent val="0"/>
          <c:showBubbleSize val="0"/>
        </c:dLbls>
        <c:axId val="194171264"/>
        <c:axId val="194173184"/>
      </c:scatterChart>
      <c:valAx>
        <c:axId val="194171264"/>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94173184"/>
        <c:crosses val="autoZero"/>
        <c:crossBetween val="midCat"/>
      </c:valAx>
      <c:valAx>
        <c:axId val="194173184"/>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1941712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194198144"/>
        <c:axId val="194204416"/>
      </c:scatterChart>
      <c:valAx>
        <c:axId val="194198144"/>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94204416"/>
        <c:crosses val="autoZero"/>
        <c:crossBetween val="midCat"/>
      </c:valAx>
      <c:valAx>
        <c:axId val="194204416"/>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1941981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24D6-9926-49EE-8B3C-60A6140D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2381</Words>
  <Characters>13577</Characters>
  <Application>Microsoft Office Word</Application>
  <DocSecurity>0</DocSecurity>
  <Lines>113</Lines>
  <Paragraphs>31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4</cp:revision>
  <dcterms:created xsi:type="dcterms:W3CDTF">2017-05-04T12:23:00Z</dcterms:created>
  <dcterms:modified xsi:type="dcterms:W3CDTF">2017-05-26T05:05:00Z</dcterms:modified>
</cp:coreProperties>
</file>