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F67677">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F67677">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F67677">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F67677">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F67677">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F67677">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F67677">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F67677">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F67677">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F67677">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F67677">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F67677">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F67677">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402574AB"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1, the projectile is </w:t>
      </w:r>
      <w:r w:rsidR="00C85EFB">
        <w:t>shot out by a gas gun. The velocity of the projectile is measured before and after the target material. The residual velocity and the damage area are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Ind w:w="93" w:type="dxa"/>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Heading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4181" cy="3689611"/>
                    </a:xfrm>
                    <a:prstGeom prst="rect">
                      <a:avLst/>
                    </a:prstGeom>
                  </pic:spPr>
                </pic:pic>
              </a:graphicData>
            </a:graphic>
          </wp:inline>
        </w:drawing>
      </w:r>
    </w:p>
    <w:p w14:paraId="4069D479" w14:textId="24A60D7F" w:rsidR="00E06C63" w:rsidRDefault="00E06C63" w:rsidP="00E06C63">
      <w:pPr>
        <w:jc w:val="center"/>
        <w:rPr>
          <w:i/>
        </w:rPr>
      </w:pPr>
      <w:r w:rsidRPr="00AC58AB">
        <w:rPr>
          <w:i/>
        </w:rPr>
        <w:t xml:space="preserve">Figure </w:t>
      </w:r>
      <w:r w:rsidR="00854E6D">
        <w:rPr>
          <w:i/>
        </w:rPr>
        <w:t>2</w:t>
      </w:r>
      <w:r w:rsidRPr="00AC58AB">
        <w:rPr>
          <w:i/>
        </w:rPr>
        <w:t>: Simplified Geometry and Boundary Conditions</w:t>
      </w:r>
    </w:p>
    <w:p w14:paraId="1F71847A" w14:textId="7624B5DE"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0"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 and direction of each ply is listed in table 2.</w:t>
      </w:r>
    </w:p>
    <w:p w14:paraId="2CB50298" w14:textId="20B0624E" w:rsidR="00D87CDA" w:rsidRPr="00D87CDA" w:rsidRDefault="00D87CDA" w:rsidP="00D87CDA">
      <w:pPr>
        <w:spacing w:after="0"/>
        <w:jc w:val="center"/>
        <w:rPr>
          <w:i/>
        </w:rPr>
      </w:pPr>
      <w:r w:rsidRPr="00D965DD">
        <w:rPr>
          <w:i/>
        </w:rPr>
        <w:t xml:space="preserve">Table </w:t>
      </w:r>
      <w:r>
        <w:rPr>
          <w:i/>
        </w:rPr>
        <w:t>2</w:t>
      </w:r>
      <w:r w:rsidRPr="00D965DD">
        <w:rPr>
          <w:i/>
        </w:rPr>
        <w:t xml:space="preserve">: </w:t>
      </w:r>
      <w:r>
        <w:rPr>
          <w:i/>
        </w:rPr>
        <w:t>Stacking sequences for E-glass/</w:t>
      </w:r>
      <w:r w:rsidRPr="00D87CDA">
        <w:rPr>
          <w:i/>
        </w:rPr>
        <w:t xml:space="preserve"> polyester woven face-sheets</w:t>
      </w:r>
    </w:p>
    <w:tbl>
      <w:tblPr>
        <w:tblW w:w="4693" w:type="dxa"/>
        <w:jc w:val="center"/>
        <w:tblInd w:w="93" w:type="dxa"/>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27EA83CE" w:rsidR="00D87CDA" w:rsidRPr="00D87CDA" w:rsidRDefault="00D87CDA"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S</w:t>
            </w:r>
            <w:r w:rsidRPr="00D87CDA">
              <w:rPr>
                <w:rFonts w:ascii="Calibri" w:eastAsia="Times New Roman" w:hAnsi="Calibri" w:cs="Times New Roman"/>
                <w:color w:val="000000"/>
                <w:lang w:eastAsia="en-AU"/>
              </w:rPr>
              <w:t>t</w:t>
            </w:r>
            <w:r>
              <w:rPr>
                <w:rFonts w:ascii="Calibri" w:eastAsia="Times New Roman" w:hAnsi="Calibri" w:cs="Times New Roman"/>
                <w:color w:val="000000"/>
                <w:lang w:eastAsia="en-AU"/>
              </w:rPr>
              <w:t>a</w:t>
            </w:r>
            <w:r w:rsidRPr="00D87CDA">
              <w:rPr>
                <w:rFonts w:ascii="Calibri" w:eastAsia="Times New Roman" w:hAnsi="Calibri" w:cs="Times New Roman"/>
                <w:color w:val="000000"/>
                <w:lang w:eastAsia="en-AU"/>
              </w:rPr>
              <w:t>cking seque</w:t>
            </w:r>
            <w:r>
              <w:rPr>
                <w:rFonts w:ascii="Calibri" w:eastAsia="Times New Roman" w:hAnsi="Calibri" w:cs="Times New Roman"/>
                <w:color w:val="000000"/>
                <w:lang w:eastAsia="en-AU"/>
              </w:rPr>
              <w:t>n</w:t>
            </w:r>
            <w:r w:rsidRPr="00D87CDA">
              <w:rPr>
                <w:rFonts w:ascii="Calibri" w:eastAsia="Times New Roman" w:hAnsi="Calibri" w:cs="Times New Roman"/>
                <w:color w:val="000000"/>
                <w:lang w:eastAsia="en-AU"/>
              </w:rPr>
              <w:t>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77777777"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[0/90/0/90/45/-45]</w:t>
            </w:r>
          </w:p>
        </w:tc>
      </w:tr>
    </w:tbl>
    <w:p w14:paraId="60F4011A" w14:textId="77777777" w:rsidR="00164DBA" w:rsidRPr="00164DBA" w:rsidRDefault="00164DBA" w:rsidP="00164DBA"/>
    <w:p w14:paraId="0BDB38E9" w14:textId="77777777" w:rsidR="00164DBA" w:rsidRDefault="00164DBA" w:rsidP="00164DBA"/>
    <w:p w14:paraId="29B7FDF7" w14:textId="77777777" w:rsidR="00D87CDA" w:rsidRDefault="00D87CDA" w:rsidP="00164DBA"/>
    <w:p w14:paraId="4CDC8EA0" w14:textId="685A3584" w:rsidR="00D87CDA" w:rsidRDefault="00D87CDA" w:rsidP="00D87CDA">
      <w:pPr>
        <w:pStyle w:val="Heading1"/>
        <w:spacing w:after="240"/>
      </w:pPr>
      <w:r>
        <w:t>4. Composite modelling</w:t>
      </w:r>
    </w:p>
    <w:p w14:paraId="1296BCFB" w14:textId="105AF489"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in Table 1. This information imported into ANSYS is shown below in Figure 3.</w:t>
      </w:r>
      <w:r w:rsidR="00750FC4">
        <w:t xml:space="preserve"> </w:t>
      </w:r>
      <w:r w:rsidR="00C22F38">
        <w:t xml:space="preserve">The software would </w:t>
      </w:r>
      <w:r w:rsidR="00C22F38" w:rsidRPr="00C22F38">
        <w:t xml:space="preserve">automatically </w:t>
      </w:r>
      <w:r w:rsidR="00C22F38">
        <w:t>calculate the</w:t>
      </w:r>
      <w:r w:rsidR="00750FC4">
        <w:t xml:space="preserve"> </w:t>
      </w:r>
      <w:r w:rsidR="00750FC4">
        <w:lastRenderedPageBreak/>
        <w:t xml:space="preserve">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eastAsia="en-AU"/>
        </w:rPr>
        <w:drawing>
          <wp:inline distT="0" distB="0" distL="0" distR="0" wp14:anchorId="0D3C86D5" wp14:editId="660D5745">
            <wp:extent cx="3747407" cy="2074064"/>
            <wp:effectExtent l="0" t="0" r="5715" b="254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7525" cy="2074130"/>
                    </a:xfrm>
                    <a:prstGeom prst="rect">
                      <a:avLst/>
                    </a:prstGeom>
                    <a:noFill/>
                    <a:ln>
                      <a:noFill/>
                    </a:ln>
                  </pic:spPr>
                </pic:pic>
              </a:graphicData>
            </a:graphic>
          </wp:inline>
        </w:drawing>
      </w:r>
    </w:p>
    <w:p w14:paraId="373B52D8" w14:textId="748DD7D2" w:rsidR="00750FC4" w:rsidRDefault="00750FC4" w:rsidP="00750FC4">
      <w:pPr>
        <w:jc w:val="center"/>
        <w:rPr>
          <w:i/>
        </w:rPr>
      </w:pPr>
      <w:r w:rsidRPr="00AC58AB">
        <w:rPr>
          <w:i/>
        </w:rPr>
        <w:t xml:space="preserve">Figure </w:t>
      </w:r>
      <w:r>
        <w:rPr>
          <w:i/>
        </w:rPr>
        <w:t>3</w:t>
      </w:r>
      <w:r w:rsidRPr="00AC58AB">
        <w:rPr>
          <w:i/>
        </w:rPr>
        <w:t xml:space="preserve">: </w:t>
      </w:r>
      <w:r>
        <w:rPr>
          <w:i/>
        </w:rPr>
        <w:t>E-glass stacking sequences and their directions, thickness and associated properties</w:t>
      </w:r>
    </w:p>
    <w:p w14:paraId="734823D6" w14:textId="37A3FEBA" w:rsidR="00750FC4" w:rsidRDefault="000718B8" w:rsidP="000718B8">
      <w:r>
        <w:t xml:space="preserve">As mention before, each ply of the E-glass fibre has its own direction. This </w:t>
      </w:r>
      <w:r w:rsidR="00E81E4D">
        <w:t>is visualized in Figure 4. This showed what it looks like that six layers of glass fibre piled together.</w:t>
      </w:r>
    </w:p>
    <w:p w14:paraId="3BDCB144" w14:textId="5472293E" w:rsidR="00D87CDA" w:rsidRDefault="00796A4A" w:rsidP="00730202">
      <w:pPr>
        <w:spacing w:after="0"/>
        <w:jc w:val="center"/>
      </w:pPr>
      <w:r>
        <w:rPr>
          <w:noProof/>
          <w:lang w:eastAsia="en-AU"/>
        </w:rPr>
        <w:drawing>
          <wp:inline distT="0" distB="0" distL="0" distR="0" wp14:anchorId="3AA5241D" wp14:editId="718644CE">
            <wp:extent cx="2971800" cy="2466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8865" cy="2472690"/>
                    </a:xfrm>
                    <a:prstGeom prst="rect">
                      <a:avLst/>
                    </a:prstGeom>
                  </pic:spPr>
                </pic:pic>
              </a:graphicData>
            </a:graphic>
          </wp:inline>
        </w:drawing>
      </w:r>
    </w:p>
    <w:p w14:paraId="2D6A41C4" w14:textId="6389FF0E" w:rsidR="000718B8" w:rsidRDefault="000718B8" w:rsidP="000718B8">
      <w:pPr>
        <w:jc w:val="center"/>
        <w:rPr>
          <w:i/>
        </w:rPr>
      </w:pPr>
      <w:r w:rsidRPr="00AC58AB">
        <w:rPr>
          <w:i/>
        </w:rPr>
        <w:t xml:space="preserve">Figure </w:t>
      </w:r>
      <w:r>
        <w:rPr>
          <w:i/>
        </w:rPr>
        <w:t>4</w:t>
      </w:r>
      <w:r w:rsidRPr="00AC58AB">
        <w:rPr>
          <w:i/>
        </w:rPr>
        <w:t xml:space="preserve">: </w:t>
      </w:r>
      <w:r>
        <w:rPr>
          <w:i/>
        </w:rPr>
        <w:t>Fabrics directions</w:t>
      </w:r>
    </w:p>
    <w:p w14:paraId="754269C2" w14:textId="712B5282" w:rsidR="00730202" w:rsidRDefault="00730202" w:rsidP="00730202">
      <w:r>
        <w:t>Six layers of PVC foam is added between the two E-glass face-sheets. Each ply has a thickness of 5 mm.</w:t>
      </w:r>
      <w:r w:rsidR="00F67677">
        <w:t xml:space="preserve"> The material alignment of the whole composite structure is illustrated in Figure 5. The thickness of E-glass fibre layers are too small</w:t>
      </w:r>
      <w:bookmarkStart w:id="6" w:name="_GoBack"/>
      <w:bookmarkEnd w:id="6"/>
      <w:r w:rsidR="00F67677">
        <w:t xml:space="preserve"> comparing to the PVC foam. So they are shown as thin lines in the upper and bottom of the figure.</w:t>
      </w:r>
    </w:p>
    <w:p w14:paraId="0FE03BF4" w14:textId="77777777" w:rsidR="00730202" w:rsidRDefault="00730202" w:rsidP="00730202">
      <w:pPr>
        <w:jc w:val="center"/>
      </w:pPr>
    </w:p>
    <w:p w14:paraId="1C894D81" w14:textId="329CC054" w:rsidR="00D87CDA" w:rsidRDefault="00730202" w:rsidP="00730202">
      <w:pPr>
        <w:spacing w:after="0"/>
        <w:jc w:val="center"/>
      </w:pPr>
      <w:r>
        <w:rPr>
          <w:noProof/>
          <w:lang w:eastAsia="en-AU"/>
        </w:rPr>
        <w:lastRenderedPageBreak/>
        <w:drawing>
          <wp:inline distT="0" distB="0" distL="0" distR="0" wp14:anchorId="428B209F" wp14:editId="621FB3D2">
            <wp:extent cx="4669654" cy="1850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870" cy="1853362"/>
                    </a:xfrm>
                    <a:prstGeom prst="rect">
                      <a:avLst/>
                    </a:prstGeom>
                  </pic:spPr>
                </pic:pic>
              </a:graphicData>
            </a:graphic>
          </wp:inline>
        </w:drawing>
      </w:r>
    </w:p>
    <w:p w14:paraId="0183D6FC" w14:textId="77777777" w:rsidR="00F67677" w:rsidRDefault="00730202" w:rsidP="00730202">
      <w:pPr>
        <w:jc w:val="center"/>
        <w:rPr>
          <w:i/>
        </w:rPr>
      </w:pPr>
      <w:r w:rsidRPr="00AC58AB">
        <w:rPr>
          <w:i/>
        </w:rPr>
        <w:t xml:space="preserve">Figure </w:t>
      </w:r>
      <w:r>
        <w:rPr>
          <w:i/>
        </w:rPr>
        <w:t>5</w:t>
      </w:r>
      <w:r w:rsidRPr="00AC58AB">
        <w:rPr>
          <w:i/>
        </w:rPr>
        <w:t xml:space="preserve">: </w:t>
      </w:r>
      <w:r>
        <w:rPr>
          <w:i/>
        </w:rPr>
        <w:t>Material Alignment of the Composite Structure</w:t>
      </w:r>
    </w:p>
    <w:p w14:paraId="7F89346B" w14:textId="39DB3C37" w:rsidR="00730202" w:rsidRDefault="00730202" w:rsidP="00730202">
      <w:pPr>
        <w:jc w:val="center"/>
        <w:rPr>
          <w:i/>
        </w:rPr>
      </w:pPr>
      <w:r>
        <w:rPr>
          <w:i/>
        </w:rPr>
        <w:t xml:space="preserve"> </w:t>
      </w:r>
    </w:p>
    <w:p w14:paraId="5A6F127F" w14:textId="77777777" w:rsidR="00D87CDA" w:rsidRPr="00164DBA" w:rsidRDefault="00D87CDA" w:rsidP="00164DBA"/>
    <w:p w14:paraId="37090797" w14:textId="77777777" w:rsidR="007D5C93" w:rsidRDefault="007D5C93" w:rsidP="007D5C93">
      <w:pPr>
        <w:pStyle w:val="Heading1"/>
        <w:spacing w:after="240"/>
      </w:pPr>
      <w:bookmarkStart w:id="7" w:name="_Toc479261288"/>
      <w:bookmarkStart w:id="8" w:name="_Toc481699520"/>
      <w:r>
        <w:t>4. Mesh and Refinement</w:t>
      </w:r>
      <w:bookmarkEnd w:id="7"/>
      <w:bookmarkEnd w:id="8"/>
    </w:p>
    <w:p w14:paraId="7074F954" w14:textId="77777777" w:rsidR="006B45A5" w:rsidRDefault="006B45A5" w:rsidP="006B45A5">
      <w:pPr>
        <w:pStyle w:val="Heading2"/>
        <w:spacing w:after="120"/>
      </w:pPr>
      <w:bookmarkStart w:id="9" w:name="_Toc479261289"/>
      <w:bookmarkStart w:id="10" w:name="_Toc481699521"/>
      <w:r>
        <w:t>4.1 Mesh</w:t>
      </w:r>
      <w:bookmarkEnd w:id="9"/>
      <w:r>
        <w:t xml:space="preserve"> Method</w:t>
      </w:r>
      <w:bookmarkEnd w:id="10"/>
    </w:p>
    <w:p w14:paraId="528E04AD" w14:textId="77777777" w:rsidR="00D12AB8" w:rsidRDefault="007D5C93" w:rsidP="007D5C93">
      <w:r>
        <w:t xml:space="preserve">When we are trying to set the meshes </w:t>
      </w:r>
      <w:r w:rsidR="00D12AB8">
        <w:t>of the</w:t>
      </w:r>
      <w:r>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77777777" w:rsidR="00530118" w:rsidRDefault="00530118" w:rsidP="007D5C93">
      <w:r>
        <w:t xml:space="preserve">The projectile ball is hard to set as structured mesh. It is not our main investigate target and its mesh would 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77777777" w:rsidR="00530118" w:rsidRDefault="00530118" w:rsidP="00530118">
      <w:pPr>
        <w:spacing w:after="0"/>
        <w:jc w:val="center"/>
      </w:pPr>
      <w:r>
        <w:rPr>
          <w:noProof/>
          <w:lang w:eastAsia="en-AU"/>
        </w:rPr>
        <w:lastRenderedPageBreak/>
        <w:drawing>
          <wp:inline distT="0" distB="0" distL="0" distR="0" wp14:anchorId="715D6D4D" wp14:editId="283718EA">
            <wp:extent cx="3771900" cy="3501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75496" cy="3504435"/>
                    </a:xfrm>
                    <a:prstGeom prst="rect">
                      <a:avLst/>
                    </a:prstGeom>
                  </pic:spPr>
                </pic:pic>
              </a:graphicData>
            </a:graphic>
          </wp:inline>
        </w:drawing>
      </w:r>
    </w:p>
    <w:p w14:paraId="53AA9078" w14:textId="0BF546B8" w:rsidR="003B7978" w:rsidRDefault="003B7978" w:rsidP="00530118">
      <w:pPr>
        <w:jc w:val="center"/>
        <w:rPr>
          <w:i/>
        </w:rPr>
      </w:pPr>
      <w:r>
        <w:rPr>
          <w:noProof/>
          <w:lang w:eastAsia="en-AU"/>
        </w:rPr>
        <w:drawing>
          <wp:inline distT="0" distB="0" distL="0" distR="0" wp14:anchorId="5BA6BCEF" wp14:editId="773C20AF">
            <wp:extent cx="3075667" cy="2898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7771" cy="2900304"/>
                    </a:xfrm>
                    <a:prstGeom prst="rect">
                      <a:avLst/>
                    </a:prstGeom>
                  </pic:spPr>
                </pic:pic>
              </a:graphicData>
            </a:graphic>
          </wp:inline>
        </w:drawing>
      </w:r>
    </w:p>
    <w:p w14:paraId="3B9C34AA" w14:textId="77777777" w:rsidR="00530118" w:rsidRPr="004653CF" w:rsidRDefault="00530118" w:rsidP="00530118">
      <w:pPr>
        <w:jc w:val="center"/>
        <w:rPr>
          <w:i/>
        </w:rPr>
      </w:pPr>
      <w:r>
        <w:rPr>
          <w:i/>
        </w:rPr>
        <w:t>Figure 2: Unstructured Mesh and Structured Mesh</w:t>
      </w:r>
    </w:p>
    <w:p w14:paraId="729D2157" w14:textId="77777777" w:rsidR="006B45A5" w:rsidRDefault="006B45A5" w:rsidP="006B45A5">
      <w:pPr>
        <w:pStyle w:val="Heading2"/>
        <w:spacing w:after="120"/>
      </w:pPr>
      <w:bookmarkStart w:id="11" w:name="_Toc481699522"/>
      <w:r>
        <w:t>4.2 Mesh Refinement</w:t>
      </w:r>
      <w:bookmarkEnd w:id="11"/>
    </w:p>
    <w:p w14:paraId="111500AB" w14:textId="77777777" w:rsidR="00544B85" w:rsidRDefault="00E06A6F">
      <w:r>
        <w:t xml:space="preserve">The purpose of the experiment simulation is to develop a reliable model. The residual velocity is set to be the validation data. In consider of this, the residual velocity of the projectile is used here as the mesh refinement indicator. </w:t>
      </w:r>
    </w:p>
    <w:p w14:paraId="6DC74F8C" w14:textId="77777777" w:rsidR="003701E4" w:rsidRDefault="003701E4">
      <w:r>
        <w:t>When the initial inlet velocity is set to a certain value, 400 m/s here, it is clear that as the mesh element number increases, the residual velocity converged to a certain value. More element takes more calculation time, especially in the transient analyses case. A compromise needs to be made between accuracy and time consuming.</w:t>
      </w:r>
    </w:p>
    <w:p w14:paraId="1243AD3E" w14:textId="77777777" w:rsidR="003701E4" w:rsidRDefault="003701E4">
      <w:r>
        <w:lastRenderedPageBreak/>
        <w:t>The 30,000 element model is chosen in this project, as it relatively accurate and took a reasonable time (about 20 minutes) to solve the results.</w:t>
      </w:r>
    </w:p>
    <w:p w14:paraId="4959CEE8" w14:textId="20801451" w:rsidR="003701E4" w:rsidRPr="003701E4" w:rsidRDefault="00C96AFF" w:rsidP="003701E4">
      <w:pPr>
        <w:spacing w:after="0"/>
        <w:jc w:val="center"/>
        <w:rPr>
          <w:highlight w:val="yellow"/>
        </w:rPr>
      </w:pPr>
      <w:r>
        <w:rPr>
          <w:noProof/>
          <w:lang w:eastAsia="en-AU"/>
        </w:rPr>
        <w:drawing>
          <wp:inline distT="0" distB="0" distL="0" distR="0" wp14:anchorId="2BEE4E32" wp14:editId="703A98DF">
            <wp:extent cx="4657725" cy="2814638"/>
            <wp:effectExtent l="0" t="0" r="9525"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637AA4" w14:textId="77777777" w:rsidR="003701E4" w:rsidRPr="00D659EA" w:rsidRDefault="003701E4" w:rsidP="003701E4">
      <w:pPr>
        <w:jc w:val="center"/>
        <w:rPr>
          <w:i/>
        </w:rPr>
      </w:pPr>
      <w:r w:rsidRPr="00C96AFF">
        <w:rPr>
          <w:i/>
        </w:rPr>
        <w:t xml:space="preserve">Figure 3: Mesh Convergence </w:t>
      </w:r>
    </w:p>
    <w:p w14:paraId="2464AFAF" w14:textId="77777777" w:rsidR="003701E4" w:rsidRDefault="003701E4"/>
    <w:p w14:paraId="45B498B4" w14:textId="77777777" w:rsidR="003701E4" w:rsidRDefault="003701E4" w:rsidP="003701E4">
      <w:pPr>
        <w:pStyle w:val="Heading1"/>
        <w:spacing w:after="240"/>
      </w:pPr>
      <w:bookmarkStart w:id="12" w:name="_Toc479261292"/>
      <w:bookmarkStart w:id="13" w:name="_Toc481699523"/>
      <w:r>
        <w:t>5. Results</w:t>
      </w:r>
      <w:bookmarkEnd w:id="12"/>
      <w:bookmarkEnd w:id="13"/>
    </w:p>
    <w:p w14:paraId="3C52F9D9" w14:textId="77777777" w:rsidR="00544B85" w:rsidRDefault="003736A0">
      <w:r>
        <w:t xml:space="preserve">Figure 4 shows the stress distribution after the impact of 360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 xml:space="preserve">the velocity of the projectile dropped from the 360 m/s to 5 m/s. This means that 360 m/s could be taken as the ballistic limit.  </w:t>
      </w:r>
    </w:p>
    <w:p w14:paraId="5647C61C" w14:textId="77777777" w:rsidR="00FB2384" w:rsidRDefault="00FB2384" w:rsidP="00FB2384">
      <w:pPr>
        <w:jc w:val="center"/>
      </w:pPr>
      <w:r>
        <w:rPr>
          <w:noProof/>
          <w:lang w:eastAsia="en-AU"/>
        </w:rPr>
        <w:drawing>
          <wp:inline distT="0" distB="0" distL="0" distR="0" wp14:anchorId="35B38E06" wp14:editId="445C5E56">
            <wp:extent cx="3859618" cy="309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64518" cy="3095525"/>
                    </a:xfrm>
                    <a:prstGeom prst="rect">
                      <a:avLst/>
                    </a:prstGeom>
                  </pic:spPr>
                </pic:pic>
              </a:graphicData>
            </a:graphic>
          </wp:inline>
        </w:drawing>
      </w:r>
    </w:p>
    <w:p w14:paraId="1A87F691" w14:textId="77777777" w:rsidR="00FB2384" w:rsidRPr="004653CF" w:rsidRDefault="00FB2384" w:rsidP="00FB2384">
      <w:pPr>
        <w:jc w:val="center"/>
        <w:rPr>
          <w:i/>
        </w:rPr>
      </w:pPr>
      <w:r>
        <w:rPr>
          <w:i/>
        </w:rPr>
        <w:lastRenderedPageBreak/>
        <w:t>Figure 4: Stress distribution</w:t>
      </w:r>
    </w:p>
    <w:p w14:paraId="6D0ADCB5" w14:textId="77777777" w:rsidR="00FB2384" w:rsidRDefault="00335174">
      <w:r>
        <w:t xml:space="preserve">The impact velocity was changed from 80 m/s to 600 m/s to find out its corresponding residual velocity. </w:t>
      </w:r>
      <w:r w:rsidR="00890E99">
        <w:t>T</w:t>
      </w:r>
      <w:r>
        <w:t xml:space="preserve">he results are shown in figure </w:t>
      </w:r>
      <w:r w:rsidR="001F3B6C">
        <w:t>6</w:t>
      </w:r>
      <w:r>
        <w:t xml:space="preserve">. </w:t>
      </w:r>
      <w:r w:rsidR="00890E99">
        <w:t xml:space="preserve">It could be confirmed again that the ballistic limit is around 360 m/s. If the projectile has lower initial velocity than this, it could not go through this composite board and will stuck in the material. The purpose of this project is to </w:t>
      </w:r>
      <w:r w:rsidR="005A27E0">
        <w:t>design</w:t>
      </w:r>
      <w:r w:rsidR="006B45A5">
        <w:t xml:space="preserve"> a light enough composite material board which has a higher ballistic limit to withstand the debris shock during storms.</w:t>
      </w:r>
    </w:p>
    <w:p w14:paraId="54C20942" w14:textId="77777777" w:rsidR="001F3B6C" w:rsidRDefault="001F3B6C" w:rsidP="001F3B6C">
      <w:pPr>
        <w:spacing w:after="0"/>
        <w:jc w:val="center"/>
      </w:pPr>
      <w:r>
        <w:rPr>
          <w:noProof/>
          <w:lang w:eastAsia="en-AU"/>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9847" cy="2161682"/>
                    </a:xfrm>
                    <a:prstGeom prst="rect">
                      <a:avLst/>
                    </a:prstGeom>
                  </pic:spPr>
                </pic:pic>
              </a:graphicData>
            </a:graphic>
          </wp:inline>
        </w:drawing>
      </w:r>
    </w:p>
    <w:p w14:paraId="32EA0C68" w14:textId="77777777" w:rsidR="001F3B6C" w:rsidRPr="006A518A" w:rsidRDefault="001F3B6C" w:rsidP="001F3B6C">
      <w:pPr>
        <w:jc w:val="center"/>
        <w:rPr>
          <w:i/>
        </w:rPr>
      </w:pPr>
      <w:r>
        <w:rPr>
          <w:i/>
        </w:rPr>
        <w:t>Figure 5: Velocity of the Projectile through Time</w:t>
      </w:r>
    </w:p>
    <w:p w14:paraId="57EACD0B" w14:textId="77777777" w:rsidR="001F3B6C" w:rsidRDefault="001F3B6C"/>
    <w:p w14:paraId="65C901F9" w14:textId="77777777" w:rsidR="005A27E0" w:rsidRDefault="005A27E0" w:rsidP="005A27E0">
      <w:pPr>
        <w:pStyle w:val="Heading1"/>
        <w:spacing w:after="240"/>
      </w:pPr>
      <w:bookmarkStart w:id="14" w:name="_Toc481699524"/>
      <w:bookmarkStart w:id="15" w:name="_Toc479261293"/>
      <w:r>
        <w:t>6. Validation</w:t>
      </w:r>
      <w:bookmarkEnd w:id="14"/>
      <w:r>
        <w:t xml:space="preserve"> </w:t>
      </w:r>
      <w:bookmarkEnd w:id="15"/>
    </w:p>
    <w:p w14:paraId="6B5DABA2" w14:textId="77777777" w:rsidR="006A518A" w:rsidRDefault="005A27E0">
      <w:r>
        <w:t xml:space="preserve">The validation process is to make sure that our simulation could represent reality. The most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p w14:paraId="53EF124C" w14:textId="25D0DC3F" w:rsidR="006A518A" w:rsidRDefault="00D9328E" w:rsidP="006A518A">
      <w:pPr>
        <w:spacing w:after="0"/>
        <w:jc w:val="center"/>
      </w:pPr>
      <w:r>
        <w:rPr>
          <w:noProof/>
          <w:lang w:eastAsia="en-AU"/>
        </w:rPr>
        <w:lastRenderedPageBreak/>
        <w:drawing>
          <wp:inline distT="0" distB="0" distL="0" distR="0" wp14:anchorId="589E2B8F" wp14:editId="13E8EF06">
            <wp:extent cx="4580878" cy="2821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3754" cy="2823453"/>
                    </a:xfrm>
                    <a:prstGeom prst="rect">
                      <a:avLst/>
                    </a:prstGeom>
                  </pic:spPr>
                </pic:pic>
              </a:graphicData>
            </a:graphic>
          </wp:inline>
        </w:drawing>
      </w:r>
    </w:p>
    <w:p w14:paraId="159DC79A" w14:textId="77777777" w:rsidR="006A518A" w:rsidRPr="006A518A" w:rsidRDefault="006A518A" w:rsidP="006A518A">
      <w:pPr>
        <w:jc w:val="center"/>
        <w:rPr>
          <w:i/>
        </w:rPr>
      </w:pPr>
      <w:r>
        <w:rPr>
          <w:i/>
        </w:rPr>
        <w:t xml:space="preserve">Figure </w:t>
      </w:r>
      <w:r w:rsidR="001F3B6C">
        <w:rPr>
          <w:i/>
        </w:rPr>
        <w:t>6</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7777777" w:rsidR="00E77848" w:rsidRDefault="00E77848" w:rsidP="00E77848">
      <w:pPr>
        <w:pStyle w:val="Heading1"/>
        <w:spacing w:after="240"/>
      </w:pPr>
      <w:bookmarkStart w:id="16" w:name="_Toc481699525"/>
      <w:r>
        <w:t>7. Window protection board design</w:t>
      </w:r>
      <w:bookmarkEnd w:id="16"/>
      <w:r>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77777777" w:rsidR="00943693" w:rsidRDefault="00E77848">
      <w:r>
        <w:t xml:space="preserve">The design process is similar to the former part. Firstly, </w:t>
      </w:r>
      <w:r w:rsidR="00776643">
        <w:t>a board model needs to be built according to the geometry of a window. Then make appropriate boundary conditions and initial conditions. Thirdly, it’s the meshing process and at last, solution and result discussion. This process is run multi times with different core thickness, until the best value is found.</w:t>
      </w:r>
    </w:p>
    <w:p w14:paraId="12DC9449" w14:textId="77777777" w:rsidR="00776643" w:rsidRDefault="00776643" w:rsidP="00776643">
      <w:pPr>
        <w:pStyle w:val="Heading2"/>
        <w:spacing w:after="120"/>
      </w:pPr>
      <w:bookmarkStart w:id="17" w:name="_Toc481699526"/>
      <w:r>
        <w:t>7.1 Model of Window Protection Board</w:t>
      </w:r>
      <w:bookmarkEnd w:id="17"/>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325022AF" w14:textId="77777777" w:rsidR="00381C88" w:rsidRDefault="00381C88">
      <w:r>
        <w:t xml:space="preserve">The boundary conditions are the same as the former model: fixed support on the four edges. This model is also symmetrised along the two </w:t>
      </w:r>
      <w:proofErr w:type="spellStart"/>
      <w:r>
        <w:t>center</w:t>
      </w:r>
      <w:proofErr w:type="spellEnd"/>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eastAsia="en-AU"/>
        </w:rPr>
        <w:lastRenderedPageBreak/>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02AF704C" w:rsidR="00776643" w:rsidRDefault="00381C88" w:rsidP="00381C88">
      <w:pPr>
        <w:jc w:val="center"/>
      </w:pPr>
      <w:r>
        <w:rPr>
          <w:i/>
        </w:rPr>
        <w:t xml:space="preserve">Figure 7: Geometry and Boundary Conditions of </w:t>
      </w:r>
      <w:r w:rsidR="000B2CB8">
        <w:rPr>
          <w:i/>
        </w:rPr>
        <w:t>the</w:t>
      </w:r>
      <w:r>
        <w:rPr>
          <w:i/>
        </w:rPr>
        <w:t xml:space="preserve"> Protection Board Model</w:t>
      </w:r>
    </w:p>
    <w:p w14:paraId="7E5750C6" w14:textId="77777777" w:rsidR="00776643" w:rsidRDefault="00776643"/>
    <w:p w14:paraId="76C2B037" w14:textId="77777777" w:rsidR="00776643" w:rsidRDefault="00776643" w:rsidP="00776643">
      <w:pPr>
        <w:pStyle w:val="Heading2"/>
        <w:spacing w:after="120"/>
      </w:pPr>
      <w:bookmarkStart w:id="18" w:name="_Toc481699527"/>
      <w:r>
        <w:t>7.2 Mesh and refinement</w:t>
      </w:r>
      <w:bookmarkEnd w:id="18"/>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eastAsia="en-AU"/>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eastAsia="en-AU"/>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4C73CC1B" w14:textId="77777777" w:rsidR="00CF0A14" w:rsidRDefault="00CF0A14"/>
    <w:p w14:paraId="116A0E9D" w14:textId="77777777" w:rsidR="00CF0A14" w:rsidRDefault="00CF0A14" w:rsidP="00CF0A14">
      <w:pPr>
        <w:pStyle w:val="Heading2"/>
        <w:spacing w:after="120"/>
      </w:pPr>
      <w:bookmarkStart w:id="19" w:name="_Toc481699528"/>
      <w:r>
        <w:lastRenderedPageBreak/>
        <w:t>7.3 Results and Discussion</w:t>
      </w:r>
      <w:bookmarkEnd w:id="19"/>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 xml:space="preserve">Seen from figure 11, the critical core thickness is around 10 mm. </w:t>
      </w:r>
      <w:proofErr w:type="gramStart"/>
      <w:r>
        <w:t>Multiply</w:t>
      </w:r>
      <w:proofErr w:type="gramEnd"/>
      <w:r>
        <w:t xml:space="preserve">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lastRenderedPageBreak/>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77777777" w:rsidR="00CF0A14" w:rsidRDefault="00CF0A14" w:rsidP="00CF0A14">
      <w:pPr>
        <w:pStyle w:val="Heading1"/>
        <w:spacing w:after="240"/>
      </w:pPr>
      <w:bookmarkStart w:id="20" w:name="_Toc481699529"/>
      <w:r>
        <w:t>8. Conclusion</w:t>
      </w:r>
      <w:bookmarkEnd w:id="20"/>
      <w:r>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w:t>
      </w:r>
      <w:proofErr w:type="gramStart"/>
      <w:r>
        <w:rPr>
          <w:rFonts w:hint="eastAsia"/>
          <w:lang w:eastAsia="zh-CN"/>
        </w:rPr>
        <w:t>now,</w:t>
      </w:r>
      <w:proofErr w:type="gramEnd"/>
      <w:r>
        <w:rPr>
          <w:rFonts w:hint="eastAsia"/>
          <w:lang w:eastAsia="zh-CN"/>
        </w:rPr>
        <w:t xml:space="preserve">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w:t>
      </w:r>
      <w:proofErr w:type="spellStart"/>
      <w:r>
        <w:t>Gastillo</w:t>
      </w:r>
      <w:proofErr w:type="spellEnd"/>
      <w:r>
        <w:t xml:space="preserve">,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555C4"/>
    <w:rsid w:val="000718B8"/>
    <w:rsid w:val="000A0B94"/>
    <w:rsid w:val="000B2CB8"/>
    <w:rsid w:val="00164DBA"/>
    <w:rsid w:val="00172E52"/>
    <w:rsid w:val="0019187F"/>
    <w:rsid w:val="001E3059"/>
    <w:rsid w:val="001F3B6C"/>
    <w:rsid w:val="002A7D46"/>
    <w:rsid w:val="00335174"/>
    <w:rsid w:val="0034451F"/>
    <w:rsid w:val="003701E4"/>
    <w:rsid w:val="003736A0"/>
    <w:rsid w:val="00381C88"/>
    <w:rsid w:val="003B7978"/>
    <w:rsid w:val="003E7CF8"/>
    <w:rsid w:val="004C5551"/>
    <w:rsid w:val="005125F0"/>
    <w:rsid w:val="00515006"/>
    <w:rsid w:val="005155CD"/>
    <w:rsid w:val="00530118"/>
    <w:rsid w:val="00544B85"/>
    <w:rsid w:val="005525AD"/>
    <w:rsid w:val="005605B2"/>
    <w:rsid w:val="005A27E0"/>
    <w:rsid w:val="005E1A34"/>
    <w:rsid w:val="006243B8"/>
    <w:rsid w:val="0062788C"/>
    <w:rsid w:val="00630A30"/>
    <w:rsid w:val="00647B88"/>
    <w:rsid w:val="00690496"/>
    <w:rsid w:val="00693C57"/>
    <w:rsid w:val="006A518A"/>
    <w:rsid w:val="006B45A5"/>
    <w:rsid w:val="006D276B"/>
    <w:rsid w:val="006F2459"/>
    <w:rsid w:val="006F79D0"/>
    <w:rsid w:val="007058FB"/>
    <w:rsid w:val="00730202"/>
    <w:rsid w:val="007351AF"/>
    <w:rsid w:val="00747E3A"/>
    <w:rsid w:val="00750FC4"/>
    <w:rsid w:val="00776643"/>
    <w:rsid w:val="007804F5"/>
    <w:rsid w:val="0078663C"/>
    <w:rsid w:val="00796A4A"/>
    <w:rsid w:val="007B79D7"/>
    <w:rsid w:val="007D5C93"/>
    <w:rsid w:val="00802BED"/>
    <w:rsid w:val="00813CB7"/>
    <w:rsid w:val="00844D05"/>
    <w:rsid w:val="00845FB1"/>
    <w:rsid w:val="00846A91"/>
    <w:rsid w:val="00854E6D"/>
    <w:rsid w:val="0086296E"/>
    <w:rsid w:val="008707AD"/>
    <w:rsid w:val="00890E99"/>
    <w:rsid w:val="008B2D5A"/>
    <w:rsid w:val="00943693"/>
    <w:rsid w:val="009E73CA"/>
    <w:rsid w:val="00A30E2A"/>
    <w:rsid w:val="00AE63FA"/>
    <w:rsid w:val="00AF0855"/>
    <w:rsid w:val="00B0551E"/>
    <w:rsid w:val="00B55963"/>
    <w:rsid w:val="00B775F2"/>
    <w:rsid w:val="00BB5DCD"/>
    <w:rsid w:val="00C13D0A"/>
    <w:rsid w:val="00C22F38"/>
    <w:rsid w:val="00C41822"/>
    <w:rsid w:val="00C733B2"/>
    <w:rsid w:val="00C85EFB"/>
    <w:rsid w:val="00C96AFF"/>
    <w:rsid w:val="00CF0A14"/>
    <w:rsid w:val="00D12AB8"/>
    <w:rsid w:val="00D211C0"/>
    <w:rsid w:val="00D3759B"/>
    <w:rsid w:val="00D8728D"/>
    <w:rsid w:val="00D87CDA"/>
    <w:rsid w:val="00D9328E"/>
    <w:rsid w:val="00DA10FA"/>
    <w:rsid w:val="00DD4093"/>
    <w:rsid w:val="00DD5B57"/>
    <w:rsid w:val="00DF712F"/>
    <w:rsid w:val="00E06A6F"/>
    <w:rsid w:val="00E06C63"/>
    <w:rsid w:val="00E25EE1"/>
    <w:rsid w:val="00E46C0D"/>
    <w:rsid w:val="00E65AF6"/>
    <w:rsid w:val="00E77848"/>
    <w:rsid w:val="00E81E4D"/>
    <w:rsid w:val="00EB2808"/>
    <w:rsid w:val="00F10BC6"/>
    <w:rsid w:val="00F1752E"/>
    <w:rsid w:val="00F24638"/>
    <w:rsid w:val="00F3151C"/>
    <w:rsid w:val="00F566E8"/>
    <w:rsid w:val="00F67677"/>
    <w:rsid w:val="00F965FA"/>
    <w:rsid w:val="00FB2384"/>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hyperlink" Target="https://www.youtube.com/channel/UCuTxSx5iJ4I23xvT1b-hKKA"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5690</c:v>
                </c:pt>
                <c:pt idx="1">
                  <c:v>8840</c:v>
                </c:pt>
                <c:pt idx="2">
                  <c:v>11231</c:v>
                </c:pt>
                <c:pt idx="3">
                  <c:v>22580</c:v>
                </c:pt>
                <c:pt idx="4">
                  <c:v>30560</c:v>
                </c:pt>
                <c:pt idx="5">
                  <c:v>40281</c:v>
                </c:pt>
              </c:numCache>
            </c:numRef>
          </c:xVal>
          <c:yVal>
            <c:numRef>
              <c:f>Sheet1!$Q$32:$Q$37</c:f>
              <c:numCache>
                <c:formatCode>General</c:formatCode>
                <c:ptCount val="6"/>
                <c:pt idx="0">
                  <c:v>220</c:v>
                </c:pt>
                <c:pt idx="1">
                  <c:v>200</c:v>
                </c:pt>
                <c:pt idx="2">
                  <c:v>194</c:v>
                </c:pt>
                <c:pt idx="3">
                  <c:v>192</c:v>
                </c:pt>
                <c:pt idx="4">
                  <c:v>191</c:v>
                </c:pt>
                <c:pt idx="5">
                  <c:v>190</c:v>
                </c:pt>
              </c:numCache>
            </c:numRef>
          </c:yVal>
          <c:smooth val="1"/>
        </c:ser>
        <c:dLbls>
          <c:showLegendKey val="0"/>
          <c:showVal val="0"/>
          <c:showCatName val="0"/>
          <c:showSerName val="0"/>
          <c:showPercent val="0"/>
          <c:showBubbleSize val="0"/>
        </c:dLbls>
        <c:axId val="100233984"/>
        <c:axId val="100235904"/>
      </c:scatterChart>
      <c:valAx>
        <c:axId val="100233984"/>
        <c:scaling>
          <c:orientation val="minMax"/>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100235904"/>
        <c:crosses val="autoZero"/>
        <c:crossBetween val="midCat"/>
      </c:valAx>
      <c:valAx>
        <c:axId val="100235904"/>
        <c:scaling>
          <c:orientation val="minMax"/>
        </c:scaling>
        <c:delete val="0"/>
        <c:axPos val="l"/>
        <c:majorGridlines/>
        <c:title>
          <c:tx>
            <c:rich>
              <a:bodyPr/>
              <a:lstStyle/>
              <a:p>
                <a:pPr>
                  <a:defRPr/>
                </a:pPr>
                <a:r>
                  <a:rPr lang="en-AU"/>
                  <a:t>Residual Velocity</a:t>
                </a:r>
              </a:p>
            </c:rich>
          </c:tx>
          <c:overlay val="0"/>
        </c:title>
        <c:numFmt formatCode="General" sourceLinked="1"/>
        <c:majorTickMark val="none"/>
        <c:minorTickMark val="none"/>
        <c:tickLblPos val="nextTo"/>
        <c:crossAx val="1002339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c:v>
                </c:pt>
                <c:pt idx="1">
                  <c:v>8840</c:v>
                </c:pt>
                <c:pt idx="2">
                  <c:v>12920</c:v>
                </c:pt>
                <c:pt idx="3">
                  <c:v>22580</c:v>
                </c:pt>
                <c:pt idx="4">
                  <c:v>30560</c:v>
                </c:pt>
              </c:numCache>
            </c:numRef>
          </c:xVal>
          <c:yVal>
            <c:numRef>
              <c:f>Sheet1!$B$33:$B$37</c:f>
              <c:numCache>
                <c:formatCode>General</c:formatCode>
                <c:ptCount val="5"/>
                <c:pt idx="0">
                  <c:v>230</c:v>
                </c:pt>
                <c:pt idx="1">
                  <c:v>220</c:v>
                </c:pt>
                <c:pt idx="2">
                  <c:v>212</c:v>
                </c:pt>
                <c:pt idx="3">
                  <c:v>210</c:v>
                </c:pt>
                <c:pt idx="4">
                  <c:v>209</c:v>
                </c:pt>
              </c:numCache>
            </c:numRef>
          </c:yVal>
          <c:smooth val="1"/>
        </c:ser>
        <c:dLbls>
          <c:showLegendKey val="0"/>
          <c:showVal val="0"/>
          <c:showCatName val="0"/>
          <c:showSerName val="0"/>
          <c:showPercent val="0"/>
          <c:showBubbleSize val="0"/>
        </c:dLbls>
        <c:axId val="38360960"/>
        <c:axId val="38395904"/>
      </c:scatterChart>
      <c:valAx>
        <c:axId val="38360960"/>
        <c:scaling>
          <c:orientation val="minMax"/>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38395904"/>
        <c:crosses val="autoZero"/>
        <c:crossBetween val="midCat"/>
      </c:valAx>
      <c:valAx>
        <c:axId val="38395904"/>
        <c:scaling>
          <c:orientation val="minMax"/>
        </c:scaling>
        <c:delete val="0"/>
        <c:axPos val="l"/>
        <c:majorGridlines/>
        <c:title>
          <c:tx>
            <c:rich>
              <a:bodyPr/>
              <a:lstStyle/>
              <a:p>
                <a:pPr>
                  <a:defRPr/>
                </a:pPr>
                <a:r>
                  <a:rPr lang="en-AU"/>
                  <a:t>Residual Velocity</a:t>
                </a:r>
              </a:p>
            </c:rich>
          </c:tx>
          <c:overlay val="0"/>
        </c:title>
        <c:numFmt formatCode="General" sourceLinked="1"/>
        <c:majorTickMark val="none"/>
        <c:minorTickMark val="none"/>
        <c:tickLblPos val="nextTo"/>
        <c:crossAx val="3836096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102195968"/>
        <c:axId val="102197888"/>
      </c:scatterChart>
      <c:valAx>
        <c:axId val="102195968"/>
        <c:scaling>
          <c:orientation val="minMax"/>
        </c:scaling>
        <c:delete val="0"/>
        <c:axPos val="b"/>
        <c:title>
          <c:tx>
            <c:rich>
              <a:bodyPr/>
              <a:lstStyle/>
              <a:p>
                <a:pPr>
                  <a:defRPr/>
                </a:pPr>
                <a:r>
                  <a:rPr lang="en-AU"/>
                  <a:t>Core Thickness (mm)</a:t>
                </a:r>
              </a:p>
            </c:rich>
          </c:tx>
          <c:overlay val="0"/>
        </c:title>
        <c:numFmt formatCode="General" sourceLinked="1"/>
        <c:majorTickMark val="none"/>
        <c:minorTickMark val="none"/>
        <c:tickLblPos val="nextTo"/>
        <c:crossAx val="102197888"/>
        <c:crosses val="autoZero"/>
        <c:crossBetween val="midCat"/>
      </c:valAx>
      <c:valAx>
        <c:axId val="102197888"/>
        <c:scaling>
          <c:orientation val="minMax"/>
        </c:scaling>
        <c:delete val="0"/>
        <c:axPos val="l"/>
        <c:majorGridlines/>
        <c:title>
          <c:tx>
            <c:rich>
              <a:bodyPr/>
              <a:lstStyle/>
              <a:p>
                <a:pPr>
                  <a:defRPr/>
                </a:pPr>
                <a:r>
                  <a:rPr lang="en-AU"/>
                  <a:t>Residual</a:t>
                </a:r>
                <a:r>
                  <a:rPr lang="en-AU" baseline="0"/>
                  <a:t> Velosity (m/s)</a:t>
                </a:r>
                <a:endParaRPr lang="en-AU"/>
              </a:p>
            </c:rich>
          </c:tx>
          <c:overlay val="0"/>
        </c:title>
        <c:numFmt formatCode="General" sourceLinked="1"/>
        <c:majorTickMark val="none"/>
        <c:minorTickMark val="none"/>
        <c:tickLblPos val="nextTo"/>
        <c:crossAx val="1021959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816F6-E65B-40FF-82B6-71934C02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17</Pages>
  <Words>2908</Words>
  <Characters>16576</Characters>
  <Application>Microsoft Office Word</Application>
  <DocSecurity>0</DocSecurity>
  <Lines>138</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13</cp:revision>
  <dcterms:created xsi:type="dcterms:W3CDTF">2017-05-04T12:23:00Z</dcterms:created>
  <dcterms:modified xsi:type="dcterms:W3CDTF">2017-05-28T09:18:00Z</dcterms:modified>
</cp:coreProperties>
</file>