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Blue Canvas AI — Tender Response: AI Adoption, Opportunities, and Impact for SMEs</w:t>
      </w:r>
    </w:p>
    <w:bookmarkStart w:id="10" w:name="X56343b3a3a01bf1bbc877a4e96faef435e21ce5"/>
    <w:p>
      <w:pPr>
        <w:pStyle w:val="Heading1"/>
      </w:pPr>
      <w:r>
        <w:t xml:space="preserve">AI Adoption, Opportunities, and Impact for SMEs</w:t>
      </w:r>
    </w:p>
    <w:bookmarkStart w:id="9" w:name="tender-response-to-intertradeireland"/>
    <w:p>
      <w:pPr>
        <w:pStyle w:val="Heading2"/>
      </w:pPr>
      <w:r>
        <w:t xml:space="preserve">Tender Response to InterTradeIreland</w:t>
      </w:r>
    </w:p>
    <w:p>
      <w:pPr>
        <w:pStyle w:val="FirstParagraph"/>
      </w:pPr>
      <w:r>
        <w:t xml:space="preserve">Research Contract — Invitation to Tender</w:t>
      </w:r>
    </w:p>
    <w:p>
      <w:pPr>
        <w:pStyle w:val="BodyText"/>
      </w:pPr>
      <w:r>
        <w:rPr>
          <w:b/>
          <w:bCs/>
        </w:rPr>
        <w:t xml:space="preserve">Submitted by:</w:t>
      </w:r>
      <w:r>
        <w:t xml:space="preserve"> </w:t>
      </w:r>
      <w:r>
        <w:t xml:space="preserve">Blue Canvas AI</w:t>
      </w:r>
    </w:p>
    <w:p>
      <w:pPr>
        <w:pStyle w:val="BodyText"/>
      </w:pPr>
      <w:r>
        <w:rPr>
          <w:b/>
          <w:bCs/>
        </w:rPr>
        <w:t xml:space="preserve">Contact:</w:t>
      </w:r>
      <w:r>
        <w:t xml:space="preserve"> </w:t>
      </w:r>
      <w:r>
        <w:t xml:space="preserve">Phil Patterson, Founder &amp; Principal Consultant</w:t>
      </w:r>
    </w:p>
    <w:p>
      <w:pPr>
        <w:pStyle w:val="BodyText"/>
      </w:pPr>
      <w:r>
        <w:rPr>
          <w:b/>
          <w:bCs/>
        </w:rPr>
        <w:t xml:space="preserve">Address:</w:t>
      </w:r>
      <w:r>
        <w:t xml:space="preserve"> </w:t>
      </w:r>
      <w:r>
        <w:t xml:space="preserve">20c Balliniska Road, Derry, Northern Ireland</w:t>
      </w:r>
    </w:p>
    <w:p>
      <w:pPr>
        <w:pStyle w:val="BodyText"/>
      </w:pPr>
      <w:r>
        <w:rPr>
          <w:b/>
          <w:bCs/>
        </w:rPr>
        <w:t xml:space="preserve">Email:</w:t>
      </w:r>
      <w:r>
        <w:t xml:space="preserve"> </w:t>
      </w:r>
      <w:r>
        <w:t xml:space="preserve">contact@bluecanvas.ai</w:t>
      </w:r>
    </w:p>
    <w:p>
      <w:pPr>
        <w:pStyle w:val="BodyText"/>
      </w:pPr>
      <w:r>
        <w:rPr>
          <w:b/>
          <w:bCs/>
        </w:rPr>
        <w:t xml:space="preserve">Telephone:</w:t>
      </w:r>
      <w:r>
        <w:t xml:space="preserve"> </w:t>
      </w:r>
      <w:r>
        <w:t xml:space="preserve">+44 7828 699027</w:t>
      </w:r>
    </w:p>
    <w:p>
      <w:pPr>
        <w:pStyle w:val="BodyText"/>
      </w:pPr>
      <w:r>
        <w:rPr>
          <w:b/>
          <w:bCs/>
        </w:rPr>
        <w:t xml:space="preserve">Website:</w:t>
      </w:r>
      <w:r>
        <w:t xml:space="preserve"> </w:t>
      </w:r>
      <w:r>
        <w:t xml:space="preserve">bluecanvas.ai</w:t>
      </w:r>
    </w:p>
    <w:p>
      <w:pPr>
        <w:pStyle w:val="BodyText"/>
      </w:pPr>
      <w:r>
        <w:rPr>
          <w:b/>
          <w:bCs/>
        </w:rPr>
        <w:t xml:space="preserve">Legal Structure:</w:t>
      </w:r>
      <w:r>
        <w:t xml:space="preserve"> </w:t>
      </w:r>
      <w:r>
        <w:t xml:space="preserve">Sole Trader</w:t>
      </w:r>
    </w:p>
    <w:p>
      <w:pPr>
        <w:pStyle w:val="BodyText"/>
      </w:pPr>
      <w:r>
        <w:rPr>
          <w:b/>
          <w:bCs/>
        </w:rPr>
        <w:t xml:space="preserve">Date:</w:t>
      </w:r>
      <w:r>
        <w:t xml:space="preserve"> </w:t>
      </w:r>
      <w:r>
        <w:t xml:space="preserve">13 February 2026</w:t>
      </w:r>
    </w:p>
    <w:bookmarkEnd w:id="9"/>
    <w:bookmarkEnd w:id="10"/>
    <w:bookmarkStart w:id="11"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Stage 1: Fair Work Practices (Pass/Fail)</w:t>
      </w:r>
    </w:p>
    <w:p>
      <w:pPr>
        <w:pStyle w:val="Compact"/>
        <w:numPr>
          <w:ilvl w:val="0"/>
          <w:numId w:val="1001"/>
        </w:numPr>
      </w:pPr>
      <w:r>
        <w:t xml:space="preserve">AC-1: Approach to Analysing the Current AI Capability Landscape (10%)</w:t>
      </w:r>
    </w:p>
    <w:p>
      <w:pPr>
        <w:pStyle w:val="Compact"/>
        <w:numPr>
          <w:ilvl w:val="0"/>
          <w:numId w:val="1001"/>
        </w:numPr>
      </w:pPr>
      <w:r>
        <w:t xml:space="preserve">AC-2: Evaluating SME Productivity and Competitiveness Gains (10%)</w:t>
      </w:r>
    </w:p>
    <w:p>
      <w:pPr>
        <w:pStyle w:val="Compact"/>
        <w:numPr>
          <w:ilvl w:val="0"/>
          <w:numId w:val="1001"/>
        </w:numPr>
      </w:pPr>
      <w:r>
        <w:t xml:space="preserve">AC-3: Identifying Barriers and Enablers for SME AI Adoption (10%)</w:t>
      </w:r>
    </w:p>
    <w:p>
      <w:pPr>
        <w:pStyle w:val="Compact"/>
        <w:numPr>
          <w:ilvl w:val="0"/>
          <w:numId w:val="1001"/>
        </w:numPr>
      </w:pPr>
      <w:r>
        <w:t xml:space="preserve">AC-4: Role of the Public Sector as a Driver of SME Innovation (10%)</w:t>
      </w:r>
    </w:p>
    <w:p>
      <w:pPr>
        <w:pStyle w:val="Compact"/>
        <w:numPr>
          <w:ilvl w:val="0"/>
          <w:numId w:val="1001"/>
        </w:numPr>
      </w:pPr>
      <w:r>
        <w:t xml:space="preserve">AC-5: Actionable Recommendations (20%)</w:t>
      </w:r>
    </w:p>
    <w:p>
      <w:pPr>
        <w:pStyle w:val="Compact"/>
        <w:numPr>
          <w:ilvl w:val="0"/>
          <w:numId w:val="1001"/>
        </w:numPr>
      </w:pPr>
      <w:r>
        <w:t xml:space="preserve">AC-6: Team Capability and Relevant Experience (10%) — Appendix A</w:t>
      </w:r>
    </w:p>
    <w:p>
      <w:pPr>
        <w:pStyle w:val="Compact"/>
        <w:numPr>
          <w:ilvl w:val="0"/>
          <w:numId w:val="1001"/>
        </w:numPr>
      </w:pPr>
      <w:r>
        <w:t xml:space="preserve">AC-7: Cost Schedule (30%) — Appendix D</w:t>
      </w:r>
    </w:p>
    <w:p>
      <w:pPr>
        <w:pStyle w:val="Compact"/>
        <w:numPr>
          <w:ilvl w:val="0"/>
          <w:numId w:val="1001"/>
        </w:numPr>
      </w:pPr>
      <w:r>
        <w:t xml:space="preserve">Project Plan and Timeline</w:t>
      </w:r>
    </w:p>
    <w:p>
      <w:pPr>
        <w:pStyle w:val="Compact"/>
        <w:numPr>
          <w:ilvl w:val="0"/>
          <w:numId w:val="1001"/>
        </w:numPr>
      </w:pPr>
      <w:r>
        <w:t xml:space="preserve">GDPR Compliance</w:t>
      </w:r>
    </w:p>
    <w:p>
      <w:pPr>
        <w:pStyle w:val="Compact"/>
        <w:numPr>
          <w:ilvl w:val="0"/>
          <w:numId w:val="1001"/>
        </w:numPr>
      </w:pPr>
      <w:r>
        <w:t xml:space="preserve">Appendix E: VAT Registration</w:t>
      </w:r>
    </w:p>
    <w:p>
      <w:pPr>
        <w:pStyle w:val="Compact"/>
        <w:numPr>
          <w:ilvl w:val="0"/>
          <w:numId w:val="1001"/>
        </w:numPr>
      </w:pPr>
      <w:r>
        <w:t xml:space="preserve">Appendix F: Fair Employment Declaration</w:t>
      </w:r>
    </w:p>
    <w:p>
      <w:pPr>
        <w:pStyle w:val="Compact"/>
        <w:numPr>
          <w:ilvl w:val="0"/>
          <w:numId w:val="1001"/>
        </w:numPr>
      </w:pPr>
      <w:r>
        <w:t xml:space="preserve">Appendix G: Certificate Relating to Bona Fide Tender</w:t>
      </w:r>
    </w:p>
    <w:p>
      <w:pPr>
        <w:pStyle w:val="Compact"/>
        <w:numPr>
          <w:ilvl w:val="0"/>
          <w:numId w:val="1001"/>
        </w:numPr>
      </w:pPr>
      <w:r>
        <w:t xml:space="preserve">Appendix H: Tender Declaration / Conditions of Contract</w:t>
      </w:r>
    </w:p>
    <w:p>
      <w:pPr>
        <w:pStyle w:val="Compact"/>
        <w:numPr>
          <w:ilvl w:val="0"/>
          <w:numId w:val="1001"/>
        </w:numPr>
      </w:pPr>
      <w:r>
        <w:t xml:space="preserve">Signature Page</w:t>
      </w:r>
    </w:p>
    <w:bookmarkEnd w:id="11"/>
    <w:bookmarkStart w:id="15" w:name="executive-summary"/>
    <w:p>
      <w:pPr>
        <w:pStyle w:val="Heading2"/>
      </w:pPr>
      <w:r>
        <w:t xml:space="preserve">1. Executive Summary</w:t>
      </w:r>
    </w:p>
    <w:p>
      <w:pPr>
        <w:pStyle w:val="FirstParagraph"/>
      </w:pPr>
      <w:r>
        <w:t xml:space="preserve">Blue Canvas AI is pleased to submit this tender response for InterTradeIreland's research contract on AI Adoption, Opportunities, and Impact for SMEs across the island of Ireland.</w:t>
      </w:r>
    </w:p>
    <w:p>
      <w:pPr>
        <w:pStyle w:val="BodyText"/>
      </w:pPr>
      <w:r>
        <w:t xml:space="preserve">We bring a distinctive perspective to this research: Blue Canvas AI is not an academic institution or a large consultancy theorising about AI adoption — we are a practitioner-led AI consultancy that works with SMEs on AI integration every single day. We understand the opportunities, barriers, and realities of SME AI adoption because we live them.</w:t>
      </w:r>
    </w:p>
    <w:p>
      <w:pPr>
        <w:pStyle w:val="BodyText"/>
      </w:pPr>
      <w:r>
        <w:t xml:space="preserve">Founded in March 2025 by Phil Patterson and based in Derry — uniquely positioned on the border between both jurisdictions — Blue Canvas AI has deep connections across the Northern Ireland and Ireland business ecosystems. Our cross-border perspective, combined with hands-on AI implementation experience, makes us ideally placed to deliver research that is not only rigorous and evidence-based, but also grounded in the practical realities facing SMEs.</w:t>
      </w:r>
    </w:p>
    <w:bookmarkStart w:id="12" w:name="our-approach"/>
    <w:p>
      <w:pPr>
        <w:pStyle w:val="Heading3"/>
      </w:pPr>
      <w:r>
        <w:t xml:space="preserve">Our Approach</w:t>
      </w:r>
    </w:p>
    <w:p>
      <w:pPr>
        <w:pStyle w:val="Compact"/>
        <w:numPr>
          <w:ilvl w:val="0"/>
          <w:numId w:val="1002"/>
        </w:numPr>
      </w:pPr>
      <w:r>
        <w:t xml:space="preserve">A comprehensive all-island landscape analysis that synthesises existing research and identifies genuine gaps</w:t>
      </w:r>
    </w:p>
    <w:p>
      <w:pPr>
        <w:pStyle w:val="Compact"/>
        <w:numPr>
          <w:ilvl w:val="0"/>
          <w:numId w:val="1002"/>
        </w:numPr>
      </w:pPr>
      <w:r>
        <w:t xml:space="preserve">Primary research (200+ SME survey, 15–20 stakeholder interviews, 2 facilitated roundtables, 8–10 SME case studies) providing fresh evidence</w:t>
      </w:r>
    </w:p>
    <w:p>
      <w:pPr>
        <w:pStyle w:val="Compact"/>
        <w:numPr>
          <w:ilvl w:val="0"/>
          <w:numId w:val="1002"/>
        </w:numPr>
      </w:pPr>
      <w:r>
        <w:t xml:space="preserve">A clear three-tier framework distinguishing AI experimentation from transformational adoption</w:t>
      </w:r>
    </w:p>
    <w:p>
      <w:pPr>
        <w:pStyle w:val="Compact"/>
        <w:numPr>
          <w:ilvl w:val="0"/>
          <w:numId w:val="1002"/>
        </w:numPr>
      </w:pPr>
      <w:r>
        <w:t xml:space="preserve">International benchmarking against leading small economies</w:t>
      </w:r>
    </w:p>
    <w:p>
      <w:pPr>
        <w:pStyle w:val="Compact"/>
        <w:numPr>
          <w:ilvl w:val="0"/>
          <w:numId w:val="1002"/>
        </w:numPr>
      </w:pPr>
      <w:r>
        <w:t xml:space="preserve">Specific, costed, actionable recommendations aligned to InterTradeIreland's strategic objectives</w:t>
      </w:r>
    </w:p>
    <w:bookmarkEnd w:id="12"/>
    <w:bookmarkStart w:id="13" w:name="our-model"/>
    <w:p>
      <w:pPr>
        <w:pStyle w:val="Heading3"/>
      </w:pPr>
      <w:r>
        <w:t xml:space="preserve">Our Model</w:t>
      </w:r>
    </w:p>
    <w:p>
      <w:pPr>
        <w:pStyle w:val="FirstParagraph"/>
      </w:pPr>
      <w:r>
        <w:t xml:space="preserve">Lean, agile, and efficient. Every pound goes into research delivery, not organisational overhead. Blue Canvas leads with deep subject-matter expertise, supported by specialist subcontractors for quantitative research and report production.</w:t>
      </w:r>
    </w:p>
    <w:bookmarkEnd w:id="13"/>
    <w:bookmarkStart w:id="14" w:name="total-cost"/>
    <w:p>
      <w:pPr>
        <w:pStyle w:val="Heading3"/>
      </w:pPr>
      <w:r>
        <w:t xml:space="preserve">Total Cost</w:t>
      </w:r>
    </w:p>
    <w:p>
      <w:pPr>
        <w:pStyle w:val="FirstParagraph"/>
      </w:pPr>
      <w:r>
        <w:rPr>
          <w:b/>
          <w:bCs/>
        </w:rPr>
        <w:t xml:space="preserve">£72,000 + VAT</w:t>
      </w:r>
      <w:r>
        <w:t xml:space="preserve"> </w:t>
      </w:r>
      <w:r>
        <w:t xml:space="preserve">— delivering exceptional value against the £95,000 budget ceiling, representing a</w:t>
      </w:r>
      <w:r>
        <w:t xml:space="preserve"> </w:t>
      </w:r>
      <w:r>
        <w:rPr>
          <w:b/>
          <w:bCs/>
        </w:rPr>
        <w:t xml:space="preserve">24% saving</w:t>
      </w:r>
      <w:r>
        <w:t xml:space="preserve"> </w:t>
      </w:r>
      <w:r>
        <w:t xml:space="preserve">while delivering a comprehensive research programme including extensive primary research, international benchmarking, and a full suite of actionable recommendations.</w:t>
      </w:r>
    </w:p>
    <w:bookmarkEnd w:id="14"/>
    <w:bookmarkEnd w:id="15"/>
    <w:bookmarkStart w:id="16" w:name="stage-1-fair-work-practices-passfail"/>
    <w:p>
      <w:pPr>
        <w:pStyle w:val="Heading2"/>
      </w:pPr>
      <w:r>
        <w:t xml:space="preserve">2. Stage 1: Fair Work Practices (Pass/Fail)</w:t>
      </w:r>
    </w:p>
    <w:p>
      <w:pPr>
        <w:pStyle w:val="FirstParagraph"/>
      </w:pPr>
      <w:r>
        <w:t xml:space="preserve">Blue Canvas AI is classified and operates as a</w:t>
      </w:r>
      <w:r>
        <w:t xml:space="preserve"> </w:t>
      </w:r>
      <w:r>
        <w:rPr>
          <w:b/>
          <w:bCs/>
        </w:rPr>
        <w:t xml:space="preserve">sole trader</w:t>
      </w:r>
      <w:r>
        <w:t xml:space="preserve">. As stated in the tender documentation:</w:t>
      </w:r>
    </w:p>
    <w:p>
      <w:pPr>
        <w:pStyle w:val="BlockText"/>
      </w:pPr>
      <w:r>
        <w:t xml:space="preserve">"Where an Economic Operator is classified and operates as a sole trader the Fair Work criteria will not apply. Tenderers should clearly evidence this in their response to the criteria."</w:t>
      </w:r>
    </w:p>
    <w:p>
      <w:pPr>
        <w:pStyle w:val="FirstParagraph"/>
      </w:pPr>
      <w:r>
        <w:rPr>
          <w:b/>
          <w:bCs/>
        </w:rPr>
        <w:t xml:space="preserve">Phil Patterson trades as Blue Canvas AI as a sole trader.</w:t>
      </w:r>
      <w:r>
        <w:t xml:space="preserve"> </w:t>
      </w:r>
      <w:r>
        <w:t xml:space="preserve">Blue Canvas AI does not employ staff; the business operates as a sole practitioner supported by subcontractors engaged on a project-by-project basis.</w:t>
      </w:r>
    </w:p>
    <w:p>
      <w:pPr>
        <w:pStyle w:val="BodyText"/>
      </w:pPr>
      <w:r>
        <w:t xml:space="preserve">As a sole trader, the Fair Work criteria do not apply to this tender submission. We confirm this status and respectfully request that this criterion be assessed as</w:t>
      </w:r>
      <w:r>
        <w:t xml:space="preserve"> </w:t>
      </w:r>
      <w:r>
        <w:rPr>
          <w:b/>
          <w:bCs/>
        </w:rPr>
        <w:t xml:space="preserve">PASS</w:t>
      </w:r>
      <w:r>
        <w:t xml:space="preserve">.</w:t>
      </w:r>
    </w:p>
    <w:bookmarkEnd w:id="16"/>
    <w:bookmarkStart w:id="25" w:name="X0da259f1d1c414ef4c8de1493ff2ccb27c0bc2b"/>
    <w:p>
      <w:pPr>
        <w:pStyle w:val="Heading2"/>
      </w:pPr>
      <w:r>
        <w:t xml:space="preserve">3. AC-1: Approach to Analysing the Current AI Capability Landscape (10%)</w:t>
      </w:r>
    </w:p>
    <w:bookmarkStart w:id="17" w:name="overview"/>
    <w:p>
      <w:pPr>
        <w:pStyle w:val="Heading3"/>
      </w:pPr>
      <w:r>
        <w:t xml:space="preserve">Overview</w:t>
      </w:r>
    </w:p>
    <w:p>
      <w:pPr>
        <w:pStyle w:val="FirstParagraph"/>
      </w:pPr>
      <w:r>
        <w:t xml:space="preserve">Blue Canvas AI will deliver a comprehensive mapping of the AI capability landscape across both jurisdictions, synthesising existing research, identifying gaps, and ensuring InterTradeIreland's work adds unique all-island value without duplicating existing studies.</w:t>
      </w:r>
    </w:p>
    <w:bookmarkEnd w:id="17"/>
    <w:bookmarkStart w:id="21" w:name="methodology"/>
    <w:p>
      <w:pPr>
        <w:pStyle w:val="Heading3"/>
      </w:pPr>
      <w:r>
        <w:t xml:space="preserve">Methodology</w:t>
      </w:r>
    </w:p>
    <w:bookmarkStart w:id="18" w:name="X736149868931ae561cfb76336027c47b135172e"/>
    <w:p>
      <w:pPr>
        <w:pStyle w:val="Heading4"/>
      </w:pPr>
      <w:r>
        <w:t xml:space="preserve">Phase 1: Systematic Literature and Policy Review (Weeks 1–3)</w:t>
      </w:r>
    </w:p>
    <w:p>
      <w:pPr>
        <w:pStyle w:val="FirstParagraph"/>
      </w:pPr>
      <w:r>
        <w:t xml:space="preserve">We will conduct a structured desk review of all significant AI strategies, research, and initiatives across both jurisdictions, including but not limited to:</w:t>
      </w:r>
    </w:p>
    <w:p>
      <w:pPr>
        <w:pStyle w:val="Compact"/>
        <w:numPr>
          <w:ilvl w:val="0"/>
          <w:numId w:val="1003"/>
        </w:numPr>
      </w:pPr>
      <w:r>
        <w:rPr>
          <w:b/>
          <w:bCs/>
        </w:rPr>
        <w:t xml:space="preserve">Northern Ireland:</w:t>
      </w:r>
      <w:r>
        <w:t xml:space="preserve"> </w:t>
      </w:r>
      <w:r>
        <w:t xml:space="preserve">AI for NI Strategic Overview; AICC Baseline Study; DfE 10X Economy strategy; Invest NI innovation programmes; Ulster University/QUB AI research outputs</w:t>
      </w:r>
    </w:p>
    <w:p>
      <w:pPr>
        <w:pStyle w:val="Compact"/>
        <w:numPr>
          <w:ilvl w:val="0"/>
          <w:numId w:val="1003"/>
        </w:numPr>
      </w:pPr>
      <w:r>
        <w:rPr>
          <w:b/>
          <w:bCs/>
        </w:rPr>
        <w:t xml:space="preserve">Ireland:</w:t>
      </w:r>
      <w:r>
        <w:t xml:space="preserve"> </w:t>
      </w:r>
      <w:r>
        <w:t xml:space="preserve">Ireland's AI: Here for Good strategy; Enterprise Ireland AI programmes; IDA Ireland technology sector analysis; SFI research centre outputs (Insight, Lero, CeADAR)</w:t>
      </w:r>
    </w:p>
    <w:p>
      <w:pPr>
        <w:pStyle w:val="Compact"/>
        <w:numPr>
          <w:ilvl w:val="0"/>
          <w:numId w:val="1003"/>
        </w:numPr>
      </w:pPr>
      <w:r>
        <w:rPr>
          <w:b/>
          <w:bCs/>
        </w:rPr>
        <w:t xml:space="preserve">Cross-border/International:</w:t>
      </w:r>
      <w:r>
        <w:t xml:space="preserve"> </w:t>
      </w:r>
      <w:r>
        <w:t xml:space="preserve">InterTradeIreland's Corporate Plan 2023–25; EU AI Act implications; UK AI Safety Institute outputs; OECD AI Policy Observatory data</w:t>
      </w:r>
    </w:p>
    <w:p>
      <w:pPr>
        <w:pStyle w:val="Compact"/>
        <w:numPr>
          <w:ilvl w:val="0"/>
          <w:numId w:val="1003"/>
        </w:numPr>
      </w:pPr>
      <w:r>
        <w:rPr>
          <w:b/>
          <w:bCs/>
        </w:rPr>
        <w:t xml:space="preserve">Government Policy:</w:t>
      </w:r>
      <w:r>
        <w:t xml:space="preserve"> </w:t>
      </w:r>
      <w:r>
        <w:t xml:space="preserve">Programmes for Government in both jurisdictions; relevant Departmental strategies (DETE, DfE)</w:t>
      </w:r>
    </w:p>
    <w:p>
      <w:pPr>
        <w:pStyle w:val="FirstParagraph"/>
      </w:pPr>
      <w:r>
        <w:t xml:space="preserve">Each source will be catalogued in a research matrix documenting: scope, methodology, key findings, SME relevance, and gaps identified. This ensures full traceability and avoids duplication.</w:t>
      </w:r>
    </w:p>
    <w:bookmarkEnd w:id="18"/>
    <w:bookmarkStart w:id="19" w:name="X5b501c9b33a0e490b42ae9c56cf150a1c843e00"/>
    <w:p>
      <w:pPr>
        <w:pStyle w:val="Heading4"/>
      </w:pPr>
      <w:r>
        <w:t xml:space="preserve">Phase 2: Stakeholder Mapping and Consultation (Weeks 2–5)</w:t>
      </w:r>
    </w:p>
    <w:p>
      <w:pPr>
        <w:pStyle w:val="FirstParagraph"/>
      </w:pPr>
      <w:r>
        <w:t xml:space="preserve">We will identify and engage key stakeholders across the AI ecosystem in both jurisdictions:</w:t>
      </w:r>
    </w:p>
    <w:p>
      <w:pPr>
        <w:pStyle w:val="Compact"/>
        <w:numPr>
          <w:ilvl w:val="0"/>
          <w:numId w:val="1004"/>
        </w:numPr>
      </w:pPr>
      <w:r>
        <w:rPr>
          <w:b/>
          <w:bCs/>
        </w:rPr>
        <w:t xml:space="preserve">Enterprise agencies:</w:t>
      </w:r>
      <w:r>
        <w:t xml:space="preserve"> </w:t>
      </w:r>
      <w:r>
        <w:t xml:space="preserve">Invest NI, Enterprise Ireland, Local Enterprise Offices, InterTradeIreland programme teams</w:t>
      </w:r>
    </w:p>
    <w:p>
      <w:pPr>
        <w:pStyle w:val="Compact"/>
        <w:numPr>
          <w:ilvl w:val="0"/>
          <w:numId w:val="1004"/>
        </w:numPr>
      </w:pPr>
      <w:r>
        <w:rPr>
          <w:b/>
          <w:bCs/>
        </w:rPr>
        <w:t xml:space="preserve">Industry bodies:</w:t>
      </w:r>
      <w:r>
        <w:t xml:space="preserve"> </w:t>
      </w:r>
      <w:r>
        <w:t xml:space="preserve">AICC (AI Collaboration Centre), Technology Ireland, Digital Catapult NI, Catalyst</w:t>
      </w:r>
    </w:p>
    <w:p>
      <w:pPr>
        <w:pStyle w:val="Compact"/>
        <w:numPr>
          <w:ilvl w:val="0"/>
          <w:numId w:val="1004"/>
        </w:numPr>
      </w:pPr>
      <w:r>
        <w:rPr>
          <w:b/>
          <w:bCs/>
        </w:rPr>
        <w:t xml:space="preserve">SME representative bodies:</w:t>
      </w:r>
      <w:r>
        <w:t xml:space="preserve"> </w:t>
      </w:r>
      <w:r>
        <w:t xml:space="preserve">FSB, ISME, Chambers of Commerce (cross-border)</w:t>
      </w:r>
    </w:p>
    <w:p>
      <w:pPr>
        <w:pStyle w:val="Compact"/>
        <w:numPr>
          <w:ilvl w:val="0"/>
          <w:numId w:val="1004"/>
        </w:numPr>
      </w:pPr>
      <w:r>
        <w:rPr>
          <w:b/>
          <w:bCs/>
        </w:rPr>
        <w:t xml:space="preserve">Academic/research:</w:t>
      </w:r>
      <w:r>
        <w:t xml:space="preserve"> </w:t>
      </w:r>
      <w:r>
        <w:t xml:space="preserve">CeADAR, Ulster University AI Centre, QUB ECIT, ATU, DCU</w:t>
      </w:r>
    </w:p>
    <w:p>
      <w:pPr>
        <w:pStyle w:val="Compact"/>
        <w:numPr>
          <w:ilvl w:val="0"/>
          <w:numId w:val="1004"/>
        </w:numPr>
      </w:pPr>
      <w:r>
        <w:rPr>
          <w:b/>
          <w:bCs/>
        </w:rPr>
        <w:t xml:space="preserve">Government policy teams:</w:t>
      </w:r>
      <w:r>
        <w:t xml:space="preserve"> </w:t>
      </w:r>
      <w:r>
        <w:t xml:space="preserve">DfE Digital Economy Unit, DETE AI policy team</w:t>
      </w:r>
    </w:p>
    <w:p>
      <w:pPr>
        <w:pStyle w:val="FirstParagraph"/>
      </w:pPr>
      <w:r>
        <w:t xml:space="preserve">Engagement methods:</w:t>
      </w:r>
    </w:p>
    <w:p>
      <w:pPr>
        <w:pStyle w:val="Compact"/>
        <w:numPr>
          <w:ilvl w:val="0"/>
          <w:numId w:val="1005"/>
        </w:numPr>
      </w:pPr>
      <w:r>
        <w:rPr>
          <w:b/>
          <w:bCs/>
        </w:rPr>
        <w:t xml:space="preserve">Semi-structured interviews</w:t>
      </w:r>
      <w:r>
        <w:t xml:space="preserve"> </w:t>
      </w:r>
      <w:r>
        <w:t xml:space="preserve">(15–20 key stakeholders) exploring perceptions of landscape maturity, gaps, and opportunities</w:t>
      </w:r>
    </w:p>
    <w:p>
      <w:pPr>
        <w:pStyle w:val="Compact"/>
        <w:numPr>
          <w:ilvl w:val="0"/>
          <w:numId w:val="1005"/>
        </w:numPr>
      </w:pPr>
      <w:r>
        <w:rPr>
          <w:b/>
          <w:bCs/>
        </w:rPr>
        <w:t xml:space="preserve">Online survey</w:t>
      </w:r>
      <w:r>
        <w:t xml:space="preserve"> </w:t>
      </w:r>
      <w:r>
        <w:t xml:space="preserve">distributed via enterprise agency networks targeting 200+ SMEs across both jurisdictions, capturing current AI awareness, usage, and perceived barriers</w:t>
      </w:r>
    </w:p>
    <w:p>
      <w:pPr>
        <w:pStyle w:val="Compact"/>
        <w:numPr>
          <w:ilvl w:val="0"/>
          <w:numId w:val="1005"/>
        </w:numPr>
      </w:pPr>
      <w:r>
        <w:rPr>
          <w:b/>
          <w:bCs/>
        </w:rPr>
        <w:t xml:space="preserve">Two facilitated roundtables</w:t>
      </w:r>
      <w:r>
        <w:t xml:space="preserve"> </w:t>
      </w:r>
      <w:r>
        <w:t xml:space="preserve">— one in each jurisdiction — bringing together 8–12 stakeholders to validate preliminary findings</w:t>
      </w:r>
    </w:p>
    <w:bookmarkEnd w:id="19"/>
    <w:bookmarkStart w:id="20" w:name="X03ddacf1b5f4936c764c7479e48aa1dc01776bb"/>
    <w:p>
      <w:pPr>
        <w:pStyle w:val="Heading4"/>
      </w:pPr>
      <w:r>
        <w:t xml:space="preserve">Phase 3: Gap Analysis and Value Mapping (Weeks 4–6)</w:t>
      </w:r>
    </w:p>
    <w:p>
      <w:pPr>
        <w:pStyle w:val="FirstParagraph"/>
      </w:pPr>
      <w:r>
        <w:t xml:space="preserve">Using the combined desk research and stakeholder input, we will produce:</w:t>
      </w:r>
    </w:p>
    <w:p>
      <w:pPr>
        <w:pStyle w:val="Compact"/>
        <w:numPr>
          <w:ilvl w:val="0"/>
          <w:numId w:val="1006"/>
        </w:numPr>
      </w:pPr>
      <w:r>
        <w:rPr>
          <w:b/>
          <w:bCs/>
        </w:rPr>
        <w:t xml:space="preserve">AI Landscape Map:</w:t>
      </w:r>
      <w:r>
        <w:t xml:space="preserve"> </w:t>
      </w:r>
      <w:r>
        <w:t xml:space="preserve">A visual and narrative overview of all current strategies, initiatives, supports, and research across both jurisdictions — identifying overlaps, gaps, and areas of fragmentation</w:t>
      </w:r>
    </w:p>
    <w:p>
      <w:pPr>
        <w:pStyle w:val="Compact"/>
        <w:numPr>
          <w:ilvl w:val="0"/>
          <w:numId w:val="1006"/>
        </w:numPr>
      </w:pPr>
      <w:r>
        <w:rPr>
          <w:b/>
          <w:bCs/>
        </w:rPr>
        <w:t xml:space="preserve">Regulatory Analysis:</w:t>
      </w:r>
      <w:r>
        <w:t xml:space="preserve"> </w:t>
      </w:r>
      <w:r>
        <w:t xml:space="preserve">Assessment of the dual UK/EU regulatory environment (including the EU AI Act vs UK's pro-innovation approach) and its specific implications for cross-border SMEs</w:t>
      </w:r>
    </w:p>
    <w:p>
      <w:pPr>
        <w:pStyle w:val="Compact"/>
        <w:numPr>
          <w:ilvl w:val="0"/>
          <w:numId w:val="1006"/>
        </w:numPr>
      </w:pPr>
      <w:r>
        <w:rPr>
          <w:b/>
          <w:bCs/>
        </w:rPr>
        <w:t xml:space="preserve">InterTradeIreland Value Proposition:</w:t>
      </w:r>
      <w:r>
        <w:t xml:space="preserve"> </w:t>
      </w:r>
      <w:r>
        <w:t xml:space="preserve">Clear identification of where InterTradeIreland can add unique value through all-island approaches — specifically areas where neither jurisdiction is acting alone and cross-border coordination would benefit SMEs</w:t>
      </w:r>
    </w:p>
    <w:bookmarkEnd w:id="20"/>
    <w:bookmarkEnd w:id="21"/>
    <w:bookmarkStart w:id="22" w:name="quality-assurance"/>
    <w:p>
      <w:pPr>
        <w:pStyle w:val="Heading3"/>
      </w:pPr>
      <w:r>
        <w:t xml:space="preserve">Quality Assurance</w:t>
      </w:r>
    </w:p>
    <w:p>
      <w:pPr>
        <w:pStyle w:val="Compact"/>
        <w:numPr>
          <w:ilvl w:val="0"/>
          <w:numId w:val="1007"/>
        </w:numPr>
      </w:pPr>
      <w:r>
        <w:t xml:space="preserve">All findings triangulated across multiple sources (desk research, quantitative survey, qualitative interviews)</w:t>
      </w:r>
    </w:p>
    <w:p>
      <w:pPr>
        <w:pStyle w:val="Compact"/>
        <w:numPr>
          <w:ilvl w:val="0"/>
          <w:numId w:val="1007"/>
        </w:numPr>
      </w:pPr>
      <w:r>
        <w:t xml:space="preserve">Research matrix shared with InterTradeIreland steering group at Week 3 checkpoint for early validation</w:t>
      </w:r>
    </w:p>
    <w:p>
      <w:pPr>
        <w:pStyle w:val="Compact"/>
        <w:numPr>
          <w:ilvl w:val="0"/>
          <w:numId w:val="1007"/>
        </w:numPr>
      </w:pPr>
      <w:r>
        <w:t xml:space="preserve">Draft landscape analysis presented at interim milestone for feedback before integration into final report</w:t>
      </w:r>
    </w:p>
    <w:bookmarkEnd w:id="22"/>
    <w:bookmarkStart w:id="23" w:name="key-differentiator"/>
    <w:p>
      <w:pPr>
        <w:pStyle w:val="Heading3"/>
      </w:pPr>
      <w:r>
        <w:t xml:space="preserve">Key Differentiator</w:t>
      </w:r>
    </w:p>
    <w:p>
      <w:pPr>
        <w:pStyle w:val="FirstParagraph"/>
      </w:pPr>
      <w:r>
        <w:t xml:space="preserve">As a practitioner working daily with SMEs adopting AI across Northern Ireland, Blue Canvas brings ground-level insight that purely academic or consultancy-led approaches miss. We know which existing programmes SMEs are actually aware of, which they find useful, and where the real gaps lie — not just the gaps visible from a policy perspective, but the gaps experienced by businesses on the ground.</w:t>
      </w:r>
    </w:p>
    <w:bookmarkEnd w:id="23"/>
    <w:bookmarkStart w:id="24" w:name="deliverable"/>
    <w:p>
      <w:pPr>
        <w:pStyle w:val="Heading3"/>
      </w:pPr>
      <w:r>
        <w:t xml:space="preserve">Deliverable</w:t>
      </w:r>
    </w:p>
    <w:p>
      <w:pPr>
        <w:pStyle w:val="FirstParagraph"/>
      </w:pPr>
      <w:r>
        <w:t xml:space="preserve">A comprehensive AI Capability Landscape chapter forming Part 1 of the final report, including the visual landscape map, regulatory analysis, stakeholder consultation summary, and gap analysis with clear identification of InterTradeIreland's unique value-add opportunities.</w:t>
      </w:r>
    </w:p>
    <w:bookmarkEnd w:id="24"/>
    <w:bookmarkEnd w:id="25"/>
    <w:bookmarkStart w:id="34" w:name="X6a43c985a5e7caf2db4769c6fb6971c13ed358a"/>
    <w:p>
      <w:pPr>
        <w:pStyle w:val="Heading2"/>
      </w:pPr>
      <w:r>
        <w:t xml:space="preserve">4. AC-2: Evaluating SME Productivity and Competitiveness Gains from AI (10%)</w:t>
      </w:r>
    </w:p>
    <w:bookmarkStart w:id="26" w:name="overview-1"/>
    <w:p>
      <w:pPr>
        <w:pStyle w:val="Heading3"/>
      </w:pPr>
      <w:r>
        <w:t xml:space="preserve">Overview</w:t>
      </w:r>
    </w:p>
    <w:p>
      <w:pPr>
        <w:pStyle w:val="FirstParagraph"/>
      </w:pPr>
      <w:r>
        <w:t xml:space="preserve">Blue Canvas AI will place SME productivity at the core of this research, delivering an evidence-based assessment of how AI and wider digital adoption can drive measurable improvements for SMEs across the island of Ireland — distinguishing clearly between superficial experimentation and transformational adoption.</w:t>
      </w:r>
    </w:p>
    <w:bookmarkEnd w:id="26"/>
    <w:bookmarkStart w:id="31" w:name="methodology-1"/>
    <w:p>
      <w:pPr>
        <w:pStyle w:val="Heading3"/>
      </w:pPr>
      <w:r>
        <w:t xml:space="preserve">Methodology</w:t>
      </w:r>
    </w:p>
    <w:bookmarkStart w:id="27" w:name="X1fff1786fa7042aea4240ee442f5a34bb01ed2c"/>
    <w:p>
      <w:pPr>
        <w:pStyle w:val="Heading4"/>
      </w:pPr>
      <w:r>
        <w:t xml:space="preserve">2.1 Defining the Productivity Framework (Weeks 2–3)</w:t>
      </w:r>
    </w:p>
    <w:p>
      <w:pPr>
        <w:pStyle w:val="FirstParagraph"/>
      </w:pPr>
      <w:r>
        <w:t xml:space="preserve">We will establish a clear analytical framework distinguishing three tiers of AI adoption: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Description</w:t>
            </w:r>
          </w:p>
        </w:tc>
        <w:tc>
          <w:tcPr/>
          <w:p>
            <w:pPr>
              <w:pStyle w:val="Compact"/>
            </w:pPr>
            <w:r>
              <w:t xml:space="preserve">Example</w:t>
            </w:r>
          </w:p>
        </w:tc>
        <w:tc>
          <w:tcPr/>
          <w:p>
            <w:pPr>
              <w:pStyle w:val="Compact"/>
            </w:pPr>
            <w:r>
              <w:t xml:space="preserve">Productivity Impact</w:t>
            </w:r>
          </w:p>
        </w:tc>
      </w:tr>
      <w:tr>
        <w:tc>
          <w:tcPr/>
          <w:p>
            <w:pPr>
              <w:pStyle w:val="Compact"/>
            </w:pPr>
            <w:r>
              <w:rPr>
                <w:b/>
                <w:bCs/>
              </w:rPr>
              <w:t xml:space="preserve">Experimentation</w:t>
            </w:r>
          </w:p>
        </w:tc>
        <w:tc>
          <w:tcPr/>
          <w:p>
            <w:pPr>
              <w:pStyle w:val="Compact"/>
            </w:pPr>
            <w:r>
              <w:t xml:space="preserve">Ad hoc use of free/low-cost AI tools by individuals</w:t>
            </w:r>
          </w:p>
        </w:tc>
        <w:tc>
          <w:tcPr/>
          <w:p>
            <w:pPr>
              <w:pStyle w:val="Compact"/>
            </w:pPr>
            <w:r>
              <w:t xml:space="preserve">Staff using ChatGPT for drafting emails</w:t>
            </w:r>
          </w:p>
        </w:tc>
        <w:tc>
          <w:tcPr/>
          <w:p>
            <w:pPr>
              <w:pStyle w:val="Compact"/>
            </w:pPr>
            <w:r>
              <w:t xml:space="preserve">Marginal; no process change</w:t>
            </w:r>
          </w:p>
        </w:tc>
      </w:tr>
      <w:tr>
        <w:tc>
          <w:tcPr/>
          <w:p>
            <w:pPr>
              <w:pStyle w:val="Compact"/>
            </w:pPr>
            <w:r>
              <w:rPr>
                <w:b/>
                <w:bCs/>
              </w:rPr>
              <w:t xml:space="preserve">Integration</w:t>
            </w:r>
          </w:p>
        </w:tc>
        <w:tc>
          <w:tcPr/>
          <w:p>
            <w:pPr>
              <w:pStyle w:val="Compact"/>
            </w:pPr>
            <w:r>
              <w:t xml:space="preserve">AI tools embedded into specific business processes</w:t>
            </w:r>
          </w:p>
        </w:tc>
        <w:tc>
          <w:tcPr/>
          <w:p>
            <w:pPr>
              <w:pStyle w:val="Compact"/>
            </w:pPr>
            <w:r>
              <w:t xml:space="preserve">Automated customer service chatbot; AI-assisted bookkeeping</w:t>
            </w:r>
          </w:p>
        </w:tc>
        <w:tc>
          <w:tcPr/>
          <w:p>
            <w:pPr>
              <w:pStyle w:val="Compact"/>
            </w:pPr>
            <w:r>
              <w:t xml:space="preserve">Moderate; measurable time/cost savings</w:t>
            </w:r>
          </w:p>
        </w:tc>
      </w:tr>
      <w:tr>
        <w:tc>
          <w:tcPr/>
          <w:p>
            <w:pPr>
              <w:pStyle w:val="Compact"/>
            </w:pPr>
            <w:r>
              <w:rPr>
                <w:b/>
                <w:bCs/>
              </w:rPr>
              <w:t xml:space="preserve">Transformation</w:t>
            </w:r>
          </w:p>
        </w:tc>
        <w:tc>
          <w:tcPr/>
          <w:p>
            <w:pPr>
              <w:pStyle w:val="Compact"/>
            </w:pPr>
            <w:r>
              <w:t xml:space="preserve">AI fundamentally reshaping business model or value proposition</w:t>
            </w:r>
          </w:p>
        </w:tc>
        <w:tc>
          <w:tcPr/>
          <w:p>
            <w:pPr>
              <w:pStyle w:val="Compact"/>
            </w:pPr>
            <w:r>
              <w:t xml:space="preserve">AI-driven product development; predictive supply chain management</w:t>
            </w:r>
          </w:p>
        </w:tc>
        <w:tc>
          <w:tcPr/>
          <w:p>
            <w:pPr>
              <w:pStyle w:val="Compact"/>
            </w:pPr>
            <w:r>
              <w:t xml:space="preserve">Significant; competitive advantage</w:t>
            </w:r>
          </w:p>
        </w:tc>
      </w:tr>
    </w:tbl>
    <w:p>
      <w:pPr>
        <w:pStyle w:val="BodyText"/>
      </w:pPr>
      <w:r>
        <w:t xml:space="preserve">This framework allows InterTradeIreland to move beyond simplistic "do you use AI?" metrics toward meaningful assessment of adoption depth and impact.</w:t>
      </w:r>
    </w:p>
    <w:bookmarkEnd w:id="27"/>
    <w:bookmarkStart w:id="28" w:name="X32bc0f375dbc38ae2a95a8056c71f5e36a7d311"/>
    <w:p>
      <w:pPr>
        <w:pStyle w:val="Heading4"/>
      </w:pPr>
      <w:r>
        <w:t xml:space="preserve">2.2 Sector-Specific Opportunity Analysis (Weeks 3–6)</w:t>
      </w:r>
    </w:p>
    <w:p>
      <w:pPr>
        <w:pStyle w:val="FirstParagraph"/>
      </w:pPr>
      <w:r>
        <w:t xml:space="preserve">We will analyse AI productivity potential across sectors most relevant to the all-island SME economy:</w:t>
      </w:r>
    </w:p>
    <w:p>
      <w:pPr>
        <w:pStyle w:val="Compact"/>
        <w:numPr>
          <w:ilvl w:val="0"/>
          <w:numId w:val="1008"/>
        </w:numPr>
      </w:pPr>
      <w:r>
        <w:rPr>
          <w:b/>
          <w:bCs/>
        </w:rPr>
        <w:t xml:space="preserve">Manufacturing/Engineering:</w:t>
      </w:r>
      <w:r>
        <w:t xml:space="preserve"> </w:t>
      </w:r>
      <w:r>
        <w:t xml:space="preserve">Predictive maintenance, quality control automation, supply chain optimisation — particularly relevant given strong cross-border manufacturing supply chains</w:t>
      </w:r>
    </w:p>
    <w:p>
      <w:pPr>
        <w:pStyle w:val="Compact"/>
        <w:numPr>
          <w:ilvl w:val="0"/>
          <w:numId w:val="1008"/>
        </w:numPr>
      </w:pPr>
      <w:r>
        <w:rPr>
          <w:b/>
          <w:bCs/>
        </w:rPr>
        <w:t xml:space="preserve">Agri-food:</w:t>
      </w:r>
      <w:r>
        <w:t xml:space="preserve"> </w:t>
      </w:r>
      <w:r>
        <w:t xml:space="preserve">Precision agriculture, traceability systems, demand forecasting — a critical all-island sector with significant AI potential</w:t>
      </w:r>
    </w:p>
    <w:p>
      <w:pPr>
        <w:pStyle w:val="Compact"/>
        <w:numPr>
          <w:ilvl w:val="0"/>
          <w:numId w:val="1008"/>
        </w:numPr>
      </w:pPr>
      <w:r>
        <w:rPr>
          <w:b/>
          <w:bCs/>
        </w:rPr>
        <w:t xml:space="preserve">Professional Services:</w:t>
      </w:r>
      <w:r>
        <w:t xml:space="preserve"> </w:t>
      </w:r>
      <w:r>
        <w:t xml:space="preserve">Document automation, client analytics, compliance monitoring — high SME density in both jurisdictions</w:t>
      </w:r>
    </w:p>
    <w:p>
      <w:pPr>
        <w:pStyle w:val="Compact"/>
        <w:numPr>
          <w:ilvl w:val="0"/>
          <w:numId w:val="1008"/>
        </w:numPr>
      </w:pPr>
      <w:r>
        <w:rPr>
          <w:b/>
          <w:bCs/>
        </w:rPr>
        <w:t xml:space="preserve">Retail/Hospitality:</w:t>
      </w:r>
      <w:r>
        <w:t xml:space="preserve"> </w:t>
      </w:r>
      <w:r>
        <w:t xml:space="preserve">Customer personalisation, inventory management, dynamic pricing — tourism and hospitality as cross-border growth sectors</w:t>
      </w:r>
    </w:p>
    <w:p>
      <w:pPr>
        <w:pStyle w:val="Compact"/>
        <w:numPr>
          <w:ilvl w:val="0"/>
          <w:numId w:val="1008"/>
        </w:numPr>
      </w:pPr>
      <w:r>
        <w:rPr>
          <w:b/>
          <w:bCs/>
        </w:rPr>
        <w:t xml:space="preserve">Construction:</w:t>
      </w:r>
      <w:r>
        <w:t xml:space="preserve"> </w:t>
      </w:r>
      <w:r>
        <w:t xml:space="preserve">BIM integration, project management automation, health &amp; safety monitoring</w:t>
      </w:r>
    </w:p>
    <w:p>
      <w:pPr>
        <w:pStyle w:val="Compact"/>
        <w:numPr>
          <w:ilvl w:val="0"/>
          <w:numId w:val="1008"/>
        </w:numPr>
      </w:pPr>
      <w:r>
        <w:rPr>
          <w:b/>
          <w:bCs/>
        </w:rPr>
        <w:t xml:space="preserve">Creative/Digital:</w:t>
      </w:r>
      <w:r>
        <w:t xml:space="preserve"> </w:t>
      </w:r>
      <w:r>
        <w:t xml:space="preserve">Content generation, design automation, data analytics — growing sector in both Derry-Donegal and Dublin corridors</w:t>
      </w:r>
    </w:p>
    <w:p>
      <w:pPr>
        <w:pStyle w:val="FirstParagraph"/>
      </w:pPr>
      <w:r>
        <w:t xml:space="preserve">For each sector we will assess: current adoption levels (from survey data and existing research); realistic productivity gains based on international evidence and case studies; specific AI applications most relevant to SME scale and budget; and whether existing support interventions are adequately tailored to sectoral needs.</w:t>
      </w:r>
    </w:p>
    <w:bookmarkEnd w:id="28"/>
    <w:bookmarkStart w:id="29" w:name="X02ecc613a99feab7e0caef702ad80e48cf90795"/>
    <w:p>
      <w:pPr>
        <w:pStyle w:val="Heading4"/>
      </w:pPr>
      <w:r>
        <w:t xml:space="preserve">2.3 Quantitative and Qualitative Evidence Gathering</w:t>
      </w:r>
    </w:p>
    <w:p>
      <w:pPr>
        <w:pStyle w:val="FirstParagraph"/>
      </w:pPr>
      <w:r>
        <w:rPr>
          <w:b/>
          <w:bCs/>
        </w:rPr>
        <w:t xml:space="preserve">SME Survey (200+ respondents):</w:t>
      </w:r>
    </w:p>
    <w:p>
      <w:pPr>
        <w:pStyle w:val="Compact"/>
        <w:numPr>
          <w:ilvl w:val="0"/>
          <w:numId w:val="1009"/>
        </w:numPr>
      </w:pPr>
      <w:r>
        <w:t xml:space="preserve">Current digital maturity baseline</w:t>
      </w:r>
    </w:p>
    <w:p>
      <w:pPr>
        <w:pStyle w:val="Compact"/>
        <w:numPr>
          <w:ilvl w:val="0"/>
          <w:numId w:val="1009"/>
        </w:numPr>
      </w:pPr>
      <w:r>
        <w:t xml:space="preserve">AI tools in use and adoption tier (per framework above)</w:t>
      </w:r>
    </w:p>
    <w:p>
      <w:pPr>
        <w:pStyle w:val="Compact"/>
        <w:numPr>
          <w:ilvl w:val="0"/>
          <w:numId w:val="1009"/>
        </w:numPr>
      </w:pPr>
      <w:r>
        <w:t xml:space="preserve">Perceived productivity impacts (time saved, revenue impact, cost reduction)</w:t>
      </w:r>
    </w:p>
    <w:p>
      <w:pPr>
        <w:pStyle w:val="Compact"/>
        <w:numPr>
          <w:ilvl w:val="0"/>
          <w:numId w:val="1009"/>
        </w:numPr>
      </w:pPr>
      <w:r>
        <w:t xml:space="preserve">Barriers to deeper adoption</w:t>
      </w:r>
    </w:p>
    <w:p>
      <w:pPr>
        <w:pStyle w:val="Compact"/>
        <w:numPr>
          <w:ilvl w:val="0"/>
          <w:numId w:val="1009"/>
        </w:numPr>
      </w:pPr>
      <w:r>
        <w:t xml:space="preserve">Awareness of available supports</w:t>
      </w:r>
    </w:p>
    <w:p>
      <w:pPr>
        <w:pStyle w:val="FirstParagraph"/>
      </w:pPr>
      <w:r>
        <w:rPr>
          <w:b/>
          <w:bCs/>
        </w:rPr>
        <w:t xml:space="preserve">In-depth Case Studies (8–10 SMEs):</w:t>
      </w:r>
    </w:p>
    <w:p>
      <w:pPr>
        <w:pStyle w:val="Compact"/>
        <w:numPr>
          <w:ilvl w:val="0"/>
          <w:numId w:val="1010"/>
        </w:numPr>
      </w:pPr>
      <w:r>
        <w:t xml:space="preserve">Select SMEs across both jurisdictions and multiple sectors demonstrating different adoption tiers</w:t>
      </w:r>
    </w:p>
    <w:p>
      <w:pPr>
        <w:pStyle w:val="Compact"/>
        <w:numPr>
          <w:ilvl w:val="0"/>
          <w:numId w:val="1010"/>
        </w:numPr>
      </w:pPr>
      <w:r>
        <w:t xml:space="preserve">Document specific AI implementations, costs, outcomes, and lessons learned</w:t>
      </w:r>
    </w:p>
    <w:p>
      <w:pPr>
        <w:pStyle w:val="Compact"/>
        <w:numPr>
          <w:ilvl w:val="0"/>
          <w:numId w:val="1010"/>
        </w:numPr>
      </w:pPr>
      <w:r>
        <w:t xml:space="preserve">These become powerful evidence for the final report — real stories from real businesses</w:t>
      </w:r>
    </w:p>
    <w:p>
      <w:pPr>
        <w:pStyle w:val="FirstParagraph"/>
      </w:pPr>
      <w:r>
        <w:rPr>
          <w:b/>
          <w:bCs/>
        </w:rPr>
        <w:t xml:space="preserve">International Benchmarking:</w:t>
      </w:r>
    </w:p>
    <w:p>
      <w:pPr>
        <w:pStyle w:val="Compact"/>
        <w:numPr>
          <w:ilvl w:val="0"/>
          <w:numId w:val="1011"/>
        </w:numPr>
      </w:pPr>
      <w:r>
        <w:t xml:space="preserve">Compare all-island SME AI adoption rates against comparable small economies (Denmark, Estonia, New Zealand, Scotland)</w:t>
      </w:r>
    </w:p>
    <w:p>
      <w:pPr>
        <w:pStyle w:val="Compact"/>
        <w:numPr>
          <w:ilvl w:val="0"/>
          <w:numId w:val="1011"/>
        </w:numPr>
      </w:pPr>
      <w:r>
        <w:t xml:space="preserve">Identify what leading jurisdictions do differently in supporting SME AI adoption</w:t>
      </w:r>
    </w:p>
    <w:p>
      <w:pPr>
        <w:pStyle w:val="Compact"/>
        <w:numPr>
          <w:ilvl w:val="0"/>
          <w:numId w:val="1011"/>
        </w:numPr>
      </w:pPr>
      <w:r>
        <w:t xml:space="preserve">Source data from OECD Digital Economy Outlook, EU DESI Index, and national statistics offices</w:t>
      </w:r>
    </w:p>
    <w:bookmarkEnd w:id="29"/>
    <w:bookmarkStart w:id="30" w:name="assessing-current-interventions"/>
    <w:p>
      <w:pPr>
        <w:pStyle w:val="Heading4"/>
      </w:pPr>
      <w:r>
        <w:t xml:space="preserve">2.4 Assessing Current Interventions</w:t>
      </w:r>
    </w:p>
    <w:p>
      <w:pPr>
        <w:pStyle w:val="FirstParagraph"/>
      </w:pPr>
      <w:r>
        <w:t xml:space="preserve">We will evaluate whether existing enterprise support programmes adequately address SME AI adoption needs:</w:t>
      </w:r>
    </w:p>
    <w:p>
      <w:pPr>
        <w:pStyle w:val="Compact"/>
        <w:numPr>
          <w:ilvl w:val="0"/>
          <w:numId w:val="1012"/>
        </w:numPr>
      </w:pPr>
      <w:r>
        <w:t xml:space="preserve">Invest NI's innovation support (Technical Development Incentive, Innovation Vouchers)</w:t>
      </w:r>
    </w:p>
    <w:p>
      <w:pPr>
        <w:pStyle w:val="Compact"/>
        <w:numPr>
          <w:ilvl w:val="0"/>
          <w:numId w:val="1012"/>
        </w:numPr>
      </w:pPr>
      <w:r>
        <w:t xml:space="preserve">Enterprise Ireland's Digital Transition programme and AI offerings</w:t>
      </w:r>
    </w:p>
    <w:p>
      <w:pPr>
        <w:pStyle w:val="Compact"/>
        <w:numPr>
          <w:ilvl w:val="0"/>
          <w:numId w:val="1012"/>
        </w:numPr>
      </w:pPr>
      <w:r>
        <w:t xml:space="preserve">InterTradeIreland's existing programmes (Fusion, ACSONI, Trade programmes)</w:t>
      </w:r>
    </w:p>
    <w:p>
      <w:pPr>
        <w:pStyle w:val="Compact"/>
        <w:numPr>
          <w:ilvl w:val="0"/>
          <w:numId w:val="1012"/>
        </w:numPr>
      </w:pPr>
      <w:r>
        <w:t xml:space="preserve">Local Enterprise Office supports in Ireland</w:t>
      </w:r>
    </w:p>
    <w:p>
      <w:pPr>
        <w:pStyle w:val="Compact"/>
        <w:numPr>
          <w:ilvl w:val="0"/>
          <w:numId w:val="1012"/>
        </w:numPr>
      </w:pPr>
      <w:r>
        <w:t xml:space="preserve">Academic-industry partnerships (CeADAR, Catalyst, university programmes)</w:t>
      </w:r>
    </w:p>
    <w:p>
      <w:pPr>
        <w:pStyle w:val="FirstParagraph"/>
      </w:pPr>
      <w:r>
        <w:t xml:space="preserve">Assessment criteria: accessibility for SMEs, depth of AI-specific content, cross-border availability, and alignment with actual SME needs identified through our primary research.</w:t>
      </w:r>
    </w:p>
    <w:bookmarkEnd w:id="30"/>
    <w:bookmarkEnd w:id="31"/>
    <w:bookmarkStart w:id="32" w:name="key-differentiator-1"/>
    <w:p>
      <w:pPr>
        <w:pStyle w:val="Heading3"/>
      </w:pPr>
      <w:r>
        <w:t xml:space="preserve">Key Differentiator</w:t>
      </w:r>
    </w:p>
    <w:p>
      <w:pPr>
        <w:pStyle w:val="FirstParagraph"/>
      </w:pPr>
      <w:r>
        <w:t xml:space="preserve">Blue Canvas works with SMEs implementing AI every day. We see first-hand which tools deliver real productivity gains and which are hype. Our assessment will be grounded in practical experience — we can distinguish between an SME that's genuinely transformed its operations with AI and one that's simply bought a ChatGPT subscription. This practitioner perspective ensures the research goes "behind generic process improvements" as the Terms of Reference specifically require.</w:t>
      </w:r>
    </w:p>
    <w:bookmarkEnd w:id="32"/>
    <w:bookmarkStart w:id="33" w:name="deliverable-1"/>
    <w:p>
      <w:pPr>
        <w:pStyle w:val="Heading3"/>
      </w:pPr>
      <w:r>
        <w:t xml:space="preserve">Deliverable</w:t>
      </w:r>
    </w:p>
    <w:p>
      <w:pPr>
        <w:pStyle w:val="FirstParagraph"/>
      </w:pPr>
      <w:r>
        <w:t xml:space="preserve">A detailed Productivity and Competitiveness chapter forming Part 2 of the final report, including the three-tier adoption framework, sector-specific opportunity analysis with realistic productivity projections, 8–10 SME case studies, international benchmarking data, and assessment of current intervention adequacy.</w:t>
      </w:r>
    </w:p>
    <w:bookmarkEnd w:id="33"/>
    <w:bookmarkEnd w:id="34"/>
    <w:bookmarkStart w:id="44" w:name="Xea71abd393284b8f3b62dd484f26199880e3535"/>
    <w:p>
      <w:pPr>
        <w:pStyle w:val="Heading2"/>
      </w:pPr>
      <w:r>
        <w:t xml:space="preserve">5. AC-3: Identifying Barriers and Enablers for SME AI Adoption (10%)</w:t>
      </w:r>
    </w:p>
    <w:bookmarkStart w:id="35" w:name="overview-2"/>
    <w:p>
      <w:pPr>
        <w:pStyle w:val="Heading3"/>
      </w:pPr>
      <w:r>
        <w:t xml:space="preserve">Overview</w:t>
      </w:r>
    </w:p>
    <w:p>
      <w:pPr>
        <w:pStyle w:val="FirstParagraph"/>
      </w:pPr>
      <w:r>
        <w:t xml:space="preserve">Blue Canvas AI will deliver a rigorous analysis of the barriers preventing and enablers driving SME AI adoption across the island of Ireland, benchmarked against international best practice to provide actionable, evidence-based mitigation strategies.</w:t>
      </w:r>
    </w:p>
    <w:bookmarkEnd w:id="35"/>
    <w:bookmarkStart w:id="41" w:name="methodology-2"/>
    <w:p>
      <w:pPr>
        <w:pStyle w:val="Heading3"/>
      </w:pPr>
      <w:r>
        <w:t xml:space="preserve">Methodology</w:t>
      </w:r>
    </w:p>
    <w:bookmarkStart w:id="36" w:name="barrier-and-enabler-framework-weeks-34"/>
    <w:p>
      <w:pPr>
        <w:pStyle w:val="Heading4"/>
      </w:pPr>
      <w:r>
        <w:t xml:space="preserve">3.1 Barrier and Enabler Framework (Weeks 3–4)</w:t>
      </w:r>
    </w:p>
    <w:p>
      <w:pPr>
        <w:pStyle w:val="FirstParagraph"/>
      </w:pPr>
      <w:r>
        <w:rPr>
          <w:b/>
          <w:bCs/>
        </w:rPr>
        <w:t xml:space="preserve">Barriers: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Key Issues to Investigate</w:t>
            </w:r>
          </w:p>
        </w:tc>
      </w:tr>
      <w:tr>
        <w:tc>
          <w:tcPr/>
          <w:p>
            <w:pPr>
              <w:pStyle w:val="Compact"/>
            </w:pPr>
            <w:r>
              <w:rPr>
                <w:b/>
                <w:bCs/>
              </w:rPr>
              <w:t xml:space="preserve">Skills &amp; Talent</w:t>
            </w:r>
          </w:p>
        </w:tc>
        <w:tc>
          <w:tcPr/>
          <w:p>
            <w:pPr>
              <w:pStyle w:val="Compact"/>
            </w:pPr>
            <w:r>
              <w:t xml:space="preserve">AI literacy gaps in SME leadership and workforce; shortage of affordable AI expertise; limited access to training; rural/urban digital divide</w:t>
            </w:r>
          </w:p>
        </w:tc>
      </w:tr>
      <w:tr>
        <w:tc>
          <w:tcPr/>
          <w:p>
            <w:pPr>
              <w:pStyle w:val="Compact"/>
            </w:pPr>
            <w:r>
              <w:rPr>
                <w:b/>
                <w:bCs/>
              </w:rPr>
              <w:t xml:space="preserve">Finance &amp; Investment</w:t>
            </w:r>
          </w:p>
        </w:tc>
        <w:tc>
          <w:tcPr/>
          <w:p>
            <w:pPr>
              <w:pStyle w:val="Compact"/>
            </w:pPr>
            <w:r>
              <w:t xml:space="preserve">Cost of AI implementation relative to SME budgets; uncertainty about ROI; limited access to innovation funding; grant programme awareness</w:t>
            </w:r>
          </w:p>
        </w:tc>
      </w:tr>
      <w:tr>
        <w:tc>
          <w:tcPr/>
          <w:p>
            <w:pPr>
              <w:pStyle w:val="Compact"/>
            </w:pPr>
            <w:r>
              <w:rPr>
                <w:b/>
                <w:bCs/>
              </w:rPr>
              <w:t xml:space="preserve">Awareness &amp; Understanding</w:t>
            </w:r>
          </w:p>
        </w:tc>
        <w:tc>
          <w:tcPr/>
          <w:p>
            <w:pPr>
              <w:pStyle w:val="Compact"/>
            </w:pPr>
            <w:r>
              <w:t xml:space="preserve">Low awareness of AI applications beyond generative AI; misconceptions about complexity and cost; lack of trusted guidance; information overload</w:t>
            </w:r>
          </w:p>
        </w:tc>
      </w:tr>
      <w:tr>
        <w:tc>
          <w:tcPr/>
          <w:p>
            <w:pPr>
              <w:pStyle w:val="Compact"/>
            </w:pPr>
            <w:r>
              <w:rPr>
                <w:b/>
                <w:bCs/>
              </w:rPr>
              <w:t xml:space="preserve">Regulation &amp; Compliance</w:t>
            </w:r>
          </w:p>
        </w:tc>
        <w:tc>
          <w:tcPr/>
          <w:p>
            <w:pPr>
              <w:pStyle w:val="Compact"/>
            </w:pPr>
            <w:r>
              <w:t xml:space="preserve">Navigating dual UK/EU AI regulatory frameworks; data protection concerns (GDPR in both jurisdictions); sector-specific compliance; uncertainty creating paralysis</w:t>
            </w:r>
          </w:p>
        </w:tc>
      </w:tr>
      <w:tr>
        <w:tc>
          <w:tcPr/>
          <w:p>
            <w:pPr>
              <w:pStyle w:val="Compact"/>
            </w:pPr>
            <w:r>
              <w:rPr>
                <w:b/>
                <w:bCs/>
              </w:rPr>
              <w:t xml:space="preserve">Infrastructure &amp; Ecosystem</w:t>
            </w:r>
          </w:p>
        </w:tc>
        <w:tc>
          <w:tcPr/>
          <w:p>
            <w:pPr>
              <w:pStyle w:val="Compact"/>
            </w:pPr>
            <w:r>
              <w:t xml:space="preserve">Digital connectivity (particularly rural border areas); access to AI service providers; vendor lock-in concerns; interoperability with legacy systems</w:t>
            </w:r>
          </w:p>
        </w:tc>
      </w:tr>
    </w:tbl>
    <w:p>
      <w:pPr>
        <w:pStyle w:val="BodyText"/>
      </w:pPr>
      <w:r>
        <w:rPr>
          <w:b/>
          <w:bCs/>
        </w:rPr>
        <w:t xml:space="preserve">Enablers: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Dimension</w:t>
            </w:r>
          </w:p>
        </w:tc>
        <w:tc>
          <w:tcPr/>
          <w:p>
            <w:pPr>
              <w:pStyle w:val="Compact"/>
            </w:pPr>
            <w:r>
              <w:t xml:space="preserve">Key Factors</w:t>
            </w:r>
          </w:p>
        </w:tc>
      </w:tr>
      <w:tr>
        <w:tc>
          <w:tcPr/>
          <w:p>
            <w:pPr>
              <w:pStyle w:val="Compact"/>
            </w:pPr>
            <w:r>
              <w:rPr>
                <w:b/>
                <w:bCs/>
              </w:rPr>
              <w:t xml:space="preserve">Leadership &amp; Culture</w:t>
            </w:r>
          </w:p>
        </w:tc>
        <w:tc>
          <w:tcPr/>
          <w:p>
            <w:pPr>
              <w:pStyle w:val="Compact"/>
            </w:pPr>
            <w:r>
              <w:t xml:space="preserve">Management digital literacy; willingness to experiment; peer learning and demonstration effects</w:t>
            </w:r>
          </w:p>
        </w:tc>
      </w:tr>
      <w:tr>
        <w:tc>
          <w:tcPr/>
          <w:p>
            <w:pPr>
              <w:pStyle w:val="Compact"/>
            </w:pPr>
            <w:r>
              <w:rPr>
                <w:b/>
                <w:bCs/>
              </w:rPr>
              <w:t xml:space="preserve">Support Ecosystem</w:t>
            </w:r>
          </w:p>
        </w:tc>
        <w:tc>
          <w:tcPr/>
          <w:p>
            <w:pPr>
              <w:pStyle w:val="Compact"/>
            </w:pPr>
            <w:r>
              <w:t xml:space="preserve">Enterprise agency programmes; university/industry partnerships; AI communities of practice; cross-border networks</w:t>
            </w:r>
          </w:p>
        </w:tc>
      </w:tr>
      <w:tr>
        <w:tc>
          <w:tcPr/>
          <w:p>
            <w:pPr>
              <w:pStyle w:val="Compact"/>
            </w:pPr>
            <w:r>
              <w:rPr>
                <w:b/>
                <w:bCs/>
              </w:rPr>
              <w:t xml:space="preserve">Market Demand</w:t>
            </w:r>
          </w:p>
        </w:tc>
        <w:tc>
          <w:tcPr/>
          <w:p>
            <w:pPr>
              <w:pStyle w:val="Compact"/>
            </w:pPr>
            <w:r>
              <w:t xml:space="preserve">Customer expectations; supply chain requirements; competitive pressure; public sector procurement signals</w:t>
            </w:r>
          </w:p>
        </w:tc>
      </w:tr>
      <w:tr>
        <w:tc>
          <w:tcPr/>
          <w:p>
            <w:pPr>
              <w:pStyle w:val="Compact"/>
            </w:pPr>
            <w:r>
              <w:rPr>
                <w:b/>
                <w:bCs/>
              </w:rPr>
              <w:t xml:space="preserve">Policy Environment</w:t>
            </w:r>
          </w:p>
        </w:tc>
        <w:tc>
          <w:tcPr/>
          <w:p>
            <w:pPr>
              <w:pStyle w:val="Compact"/>
            </w:pPr>
            <w:r>
              <w:t xml:space="preserve">Government AI strategies; regulatory clarity; innovation tax incentives (R&amp;D tax credits in both jurisdictions); broadband investment</w:t>
            </w:r>
          </w:p>
        </w:tc>
      </w:tr>
    </w:tbl>
    <w:bookmarkEnd w:id="36"/>
    <w:bookmarkStart w:id="37" w:name="primary-research-barrier-validation"/>
    <w:p>
      <w:pPr>
        <w:pStyle w:val="Heading4"/>
      </w:pPr>
      <w:r>
        <w:t xml:space="preserve">3.2 Primary Research — Barrier Validation</w:t>
      </w:r>
    </w:p>
    <w:p>
      <w:pPr>
        <w:pStyle w:val="FirstParagraph"/>
      </w:pPr>
      <w:r>
        <w:t xml:space="preserve">Our SME survey (200+ respondents) will include a dedicated barriers and enablers section with ranking of barriers by perceived severity (Likert scale), self-assessed digital maturity and AI readiness, awareness and uptake of existing support programmes, and cross-tabulation by jurisdiction, sector, size, and urban/rural location.</w:t>
      </w:r>
    </w:p>
    <w:p>
      <w:pPr>
        <w:pStyle w:val="BodyText"/>
      </w:pPr>
      <w:r>
        <w:t xml:space="preserve">Stakeholder interviews and roundtables will probe barriers in depth — particularly the "hidden" barriers that don't appear in surveys (e.g., cultural resistance, time poverty in owner-managed SMEs, distrust of technology vendors).</w:t>
      </w:r>
    </w:p>
    <w:bookmarkEnd w:id="37"/>
    <w:bookmarkStart w:id="38" w:name="international-benchmarking-weeks-46"/>
    <w:p>
      <w:pPr>
        <w:pStyle w:val="Heading4"/>
      </w:pPr>
      <w:r>
        <w:t xml:space="preserve">3.3 International Benchmarking (Weeks 4–6)</w:t>
      </w:r>
    </w:p>
    <w:p>
      <w:pPr>
        <w:pStyle w:val="FirstParagraph"/>
      </w:pPr>
      <w:r>
        <w:t xml:space="preserve">We will benchmark the all-island position against jurisdictions recognised as leaders in SME digital/AI adoption:</w:t>
      </w:r>
    </w:p>
    <w:p>
      <w:pPr>
        <w:pStyle w:val="Compact"/>
        <w:numPr>
          <w:ilvl w:val="0"/>
          <w:numId w:val="1013"/>
        </w:numPr>
      </w:pPr>
      <w:r>
        <w:rPr>
          <w:b/>
          <w:bCs/>
        </w:rPr>
        <w:t xml:space="preserve">Denmark:</w:t>
      </w:r>
      <w:r>
        <w:t xml:space="preserve"> </w:t>
      </w:r>
      <w:r>
        <w:t xml:space="preserve">SME:Digital programme — government-funded digital advisors working one-to-one with SMEs; demonstrated measurable productivity gains</w:t>
      </w:r>
    </w:p>
    <w:p>
      <w:pPr>
        <w:pStyle w:val="Compact"/>
        <w:numPr>
          <w:ilvl w:val="0"/>
          <w:numId w:val="1013"/>
        </w:numPr>
      </w:pPr>
      <w:r>
        <w:rPr>
          <w:b/>
          <w:bCs/>
        </w:rPr>
        <w:t xml:space="preserve">Estonia:</w:t>
      </w:r>
      <w:r>
        <w:t xml:space="preserve"> </w:t>
      </w:r>
      <w:r>
        <w:t xml:space="preserve">e-Estonia digital infrastructure enabling seamless AI integration; lessons on how public digital services create readiness for private AI adoption</w:t>
      </w:r>
    </w:p>
    <w:p>
      <w:pPr>
        <w:pStyle w:val="Compact"/>
        <w:numPr>
          <w:ilvl w:val="0"/>
          <w:numId w:val="1013"/>
        </w:numPr>
      </w:pPr>
      <w:r>
        <w:rPr>
          <w:b/>
          <w:bCs/>
        </w:rPr>
        <w:t xml:space="preserve">Singapore:</w:t>
      </w:r>
      <w:r>
        <w:t xml:space="preserve"> </w:t>
      </w:r>
      <w:r>
        <w:t xml:space="preserve">SME Go Digital and AI Apprenticeship programmes — structured adoption pathways with co-funding</w:t>
      </w:r>
    </w:p>
    <w:p>
      <w:pPr>
        <w:pStyle w:val="Compact"/>
        <w:numPr>
          <w:ilvl w:val="0"/>
          <w:numId w:val="1013"/>
        </w:numPr>
      </w:pPr>
      <w:r>
        <w:rPr>
          <w:b/>
          <w:bCs/>
        </w:rPr>
        <w:t xml:space="preserve">Scotland:</w:t>
      </w:r>
      <w:r>
        <w:t xml:space="preserve"> </w:t>
      </w:r>
      <w:r>
        <w:t xml:space="preserve">CivTech programme and Scottish Enterprise AI support — directly comparable small economy with devolved administration</w:t>
      </w:r>
    </w:p>
    <w:p>
      <w:pPr>
        <w:pStyle w:val="Compact"/>
        <w:numPr>
          <w:ilvl w:val="0"/>
          <w:numId w:val="1013"/>
        </w:numPr>
      </w:pPr>
      <w:r>
        <w:rPr>
          <w:b/>
          <w:bCs/>
        </w:rPr>
        <w:t xml:space="preserve">EU-wide:</w:t>
      </w:r>
      <w:r>
        <w:t xml:space="preserve"> </w:t>
      </w:r>
      <w:r>
        <w:t xml:space="preserve">European Digital Innovation Hubs (EDIHs) — model for cross-border AI support delivery</w:t>
      </w:r>
    </w:p>
    <w:p>
      <w:pPr>
        <w:pStyle w:val="FirstParagraph"/>
      </w:pPr>
      <w:r>
        <w:t xml:space="preserve">For each comparator we will assess: what works, what's transferable to the all-island context, and what InterTradeIreland can uniquely deliver.</w:t>
      </w:r>
    </w:p>
    <w:bookmarkEnd w:id="38"/>
    <w:bookmarkStart w:id="39" w:name="the-dual-regulatory-dimension"/>
    <w:p>
      <w:pPr>
        <w:pStyle w:val="Heading4"/>
      </w:pPr>
      <w:r>
        <w:t xml:space="preserve">3.4 The Dual Regulatory Dimension</w:t>
      </w:r>
    </w:p>
    <w:p>
      <w:pPr>
        <w:pStyle w:val="FirstParagraph"/>
      </w:pPr>
      <w:r>
        <w:t xml:space="preserve">A unique barrier for all-island SMEs is operating under dual UK/EU regulatory regimes. We will specifically analyse:</w:t>
      </w:r>
    </w:p>
    <w:p>
      <w:pPr>
        <w:pStyle w:val="Compact"/>
        <w:numPr>
          <w:ilvl w:val="0"/>
          <w:numId w:val="1014"/>
        </w:numPr>
      </w:pPr>
      <w:r>
        <w:t xml:space="preserve">EU AI Act obligations for SMEs trading into EU markets (including NI under the Windsor Framework)</w:t>
      </w:r>
    </w:p>
    <w:p>
      <w:pPr>
        <w:pStyle w:val="Compact"/>
        <w:numPr>
          <w:ilvl w:val="0"/>
          <w:numId w:val="1014"/>
        </w:numPr>
      </w:pPr>
      <w:r>
        <w:t xml:space="preserve">UK's pro-innovation regulatory approach and its implications for NI-based SMEs</w:t>
      </w:r>
    </w:p>
    <w:p>
      <w:pPr>
        <w:pStyle w:val="Compact"/>
        <w:numPr>
          <w:ilvl w:val="0"/>
          <w:numId w:val="1014"/>
        </w:numPr>
      </w:pPr>
      <w:r>
        <w:t xml:space="preserve">Practical compliance burden for cross-border SMEs (data flows, AI classification requirements, sector-specific rules)</w:t>
      </w:r>
    </w:p>
    <w:p>
      <w:pPr>
        <w:pStyle w:val="Compact"/>
        <w:numPr>
          <w:ilvl w:val="0"/>
          <w:numId w:val="1014"/>
        </w:numPr>
      </w:pPr>
      <w:r>
        <w:t xml:space="preserve">Opportunities: how the dual-regime position could become a competitive advantage (access to both markets, regulatory arbitrage for AI development)</w:t>
      </w:r>
    </w:p>
    <w:bookmarkEnd w:id="39"/>
    <w:bookmarkStart w:id="40" w:name="evidence-based-mitigation-strategies"/>
    <w:p>
      <w:pPr>
        <w:pStyle w:val="Heading4"/>
      </w:pPr>
      <w:r>
        <w:t xml:space="preserve">3.5 Evidence-Based Mitigation Strategies</w:t>
      </w:r>
    </w:p>
    <w:p>
      <w:pPr>
        <w:pStyle w:val="FirstParagraph"/>
      </w:pPr>
      <w:r>
        <w:t xml:space="preserve">For each significant barrier identified, we will propose specific, costed, and implementable mitigation strategies:</w:t>
      </w:r>
    </w:p>
    <w:p>
      <w:pPr>
        <w:pStyle w:val="Compact"/>
        <w:numPr>
          <w:ilvl w:val="0"/>
          <w:numId w:val="1015"/>
        </w:numPr>
      </w:pPr>
      <w:r>
        <w:rPr>
          <w:b/>
          <w:bCs/>
        </w:rPr>
        <w:t xml:space="preserve">Skills:</w:t>
      </w:r>
      <w:r>
        <w:t xml:space="preserve"> </w:t>
      </w:r>
      <w:r>
        <w:t xml:space="preserve">AI literacy programmes for SME leadership; peer-learning networks; cross-border mentoring schemes</w:t>
      </w:r>
    </w:p>
    <w:p>
      <w:pPr>
        <w:pStyle w:val="Compact"/>
        <w:numPr>
          <w:ilvl w:val="0"/>
          <w:numId w:val="1015"/>
        </w:numPr>
      </w:pPr>
      <w:r>
        <w:rPr>
          <w:b/>
          <w:bCs/>
        </w:rPr>
        <w:t xml:space="preserve">Finance:</w:t>
      </w:r>
      <w:r>
        <w:t xml:space="preserve"> </w:t>
      </w:r>
      <w:r>
        <w:t xml:space="preserve">Structured co-investment models; AI voucher schemes (following Denmark's model); accessible micro-grants for first AI implementations</w:t>
      </w:r>
    </w:p>
    <w:p>
      <w:pPr>
        <w:pStyle w:val="Compact"/>
        <w:numPr>
          <w:ilvl w:val="0"/>
          <w:numId w:val="1015"/>
        </w:numPr>
      </w:pPr>
      <w:r>
        <w:rPr>
          <w:b/>
          <w:bCs/>
        </w:rPr>
        <w:t xml:space="preserve">Awareness:</w:t>
      </w:r>
      <w:r>
        <w:t xml:space="preserve"> </w:t>
      </w:r>
      <w:r>
        <w:t xml:space="preserve">Trusted intermediary model; sector-specific AI showcases; "AI champions" network of early-adopting SMEs</w:t>
      </w:r>
    </w:p>
    <w:p>
      <w:pPr>
        <w:pStyle w:val="Compact"/>
        <w:numPr>
          <w:ilvl w:val="0"/>
          <w:numId w:val="1015"/>
        </w:numPr>
      </w:pPr>
      <w:r>
        <w:rPr>
          <w:b/>
          <w:bCs/>
        </w:rPr>
        <w:t xml:space="preserve">Regulation:</w:t>
      </w:r>
      <w:r>
        <w:t xml:space="preserve"> </w:t>
      </w:r>
      <w:r>
        <w:t xml:space="preserve">Plain-language compliance guides for dual-regime navigation; regulatory readiness self-assessment tools; cross-border regulatory advice service</w:t>
      </w:r>
    </w:p>
    <w:p>
      <w:pPr>
        <w:pStyle w:val="Compact"/>
        <w:numPr>
          <w:ilvl w:val="0"/>
          <w:numId w:val="1015"/>
        </w:numPr>
      </w:pPr>
      <w:r>
        <w:rPr>
          <w:b/>
          <w:bCs/>
        </w:rPr>
        <w:t xml:space="preserve">Infrastructure:</w:t>
      </w:r>
      <w:r>
        <w:t xml:space="preserve"> </w:t>
      </w:r>
      <w:r>
        <w:t xml:space="preserve">Leveraging existing digital infrastructure investments; cloud-first approaches reducing on-premise requirements</w:t>
      </w:r>
    </w:p>
    <w:bookmarkEnd w:id="40"/>
    <w:bookmarkEnd w:id="41"/>
    <w:bookmarkStart w:id="42" w:name="key-differentiator-2"/>
    <w:p>
      <w:pPr>
        <w:pStyle w:val="Heading3"/>
      </w:pPr>
      <w:r>
        <w:t xml:space="preserve">Key Differentiator</w:t>
      </w:r>
    </w:p>
    <w:p>
      <w:pPr>
        <w:pStyle w:val="FirstParagraph"/>
      </w:pPr>
      <w:r>
        <w:t xml:space="preserve">Blue Canvas encounters these barriers every day in our consulting work. We don't need to theorise about what stops SMEs adopting AI — we see it in practice. The most common barrier we encounter isn't skills or finance; it's time poverty and cognitive overload in owner-managed businesses. This ground-level insight, combined with rigorous international benchmarking, ensures our analysis captures both the structural and practical barriers that shape SME decision-making.</w:t>
      </w:r>
    </w:p>
    <w:bookmarkEnd w:id="42"/>
    <w:bookmarkStart w:id="43" w:name="deliverable-2"/>
    <w:p>
      <w:pPr>
        <w:pStyle w:val="Heading3"/>
      </w:pPr>
      <w:r>
        <w:t xml:space="preserve">Deliverable</w:t>
      </w:r>
    </w:p>
    <w:p>
      <w:pPr>
        <w:pStyle w:val="FirstParagraph"/>
      </w:pPr>
      <w:r>
        <w:t xml:space="preserve">A comprehensive Barriers and Enablers chapter forming Part 3 of the final report, including the structured barrier/enabler framework, survey findings with cross-tabulations, international benchmarking analysis, dual-regulation deep-dive, and specific mitigation strategies for each identified barrier.</w:t>
      </w:r>
    </w:p>
    <w:bookmarkEnd w:id="43"/>
    <w:bookmarkEnd w:id="44"/>
    <w:bookmarkStart w:id="54" w:name="Xf35f8a19347145a294c988acf086392de8de441"/>
    <w:p>
      <w:pPr>
        <w:pStyle w:val="Heading2"/>
      </w:pPr>
      <w:r>
        <w:t xml:space="preserve">6. AC-4: Role of the Public Sector as a Driver of SME Innovation (10%)</w:t>
      </w:r>
    </w:p>
    <w:bookmarkStart w:id="45" w:name="overview-3"/>
    <w:p>
      <w:pPr>
        <w:pStyle w:val="Heading3"/>
      </w:pPr>
      <w:r>
        <w:t xml:space="preserve">Overview</w:t>
      </w:r>
    </w:p>
    <w:p>
      <w:pPr>
        <w:pStyle w:val="FirstParagraph"/>
      </w:pPr>
      <w:r>
        <w:t xml:space="preserve">Blue Canvas AI will examine how public sector demand-side levers — procurement, open calls, and pilot programmes — can stimulate SME AI adoption across both jurisdictions, with practical recommendations drawn from international best practice.</w:t>
      </w:r>
    </w:p>
    <w:bookmarkEnd w:id="45"/>
    <w:bookmarkStart w:id="51" w:name="methodology-3"/>
    <w:p>
      <w:pPr>
        <w:pStyle w:val="Heading3"/>
      </w:pPr>
      <w:r>
        <w:t xml:space="preserve">Methodology</w:t>
      </w:r>
    </w:p>
    <w:bookmarkStart w:id="46" w:name="Xb92f3210aca1bd18a1c22efa83958507696c905"/>
    <w:p>
      <w:pPr>
        <w:pStyle w:val="Heading4"/>
      </w:pPr>
      <w:r>
        <w:t xml:space="preserve">4.1 Mapping Current Public Sector Demand-Side Mechanisms (Weeks 4–6)</w:t>
      </w:r>
    </w:p>
    <w:p>
      <w:pPr>
        <w:pStyle w:val="FirstParagraph"/>
      </w:pPr>
      <w:r>
        <w:t xml:space="preserve">We will conduct a comprehensive audit of existing mechanisms in both jurisdictions:</w:t>
      </w:r>
    </w:p>
    <w:p>
      <w:pPr>
        <w:pStyle w:val="BodyText"/>
      </w:pPr>
      <w:r>
        <w:rPr>
          <w:b/>
          <w:bCs/>
        </w:rPr>
        <w:t xml:space="preserve">Northern Ireland:</w:t>
      </w:r>
    </w:p>
    <w:p>
      <w:pPr>
        <w:pStyle w:val="Compact"/>
        <w:numPr>
          <w:ilvl w:val="0"/>
          <w:numId w:val="1016"/>
        </w:numPr>
      </w:pPr>
      <w:r>
        <w:t xml:space="preserve">CPD (Construction &amp; Procurement Delivery) innovation procurement provisions</w:t>
      </w:r>
    </w:p>
    <w:p>
      <w:pPr>
        <w:pStyle w:val="Compact"/>
        <w:numPr>
          <w:ilvl w:val="0"/>
          <w:numId w:val="1016"/>
        </w:numPr>
      </w:pPr>
      <w:r>
        <w:t xml:space="preserve">Invest NI challenge-led programmes</w:t>
      </w:r>
    </w:p>
    <w:p>
      <w:pPr>
        <w:pStyle w:val="Compact"/>
        <w:numPr>
          <w:ilvl w:val="0"/>
          <w:numId w:val="1016"/>
        </w:numPr>
      </w:pPr>
      <w:r>
        <w:t xml:space="preserve">DfE innovation policy instruments</w:t>
      </w:r>
    </w:p>
    <w:p>
      <w:pPr>
        <w:pStyle w:val="Compact"/>
        <w:numPr>
          <w:ilvl w:val="0"/>
          <w:numId w:val="1016"/>
        </w:numPr>
      </w:pPr>
      <w:r>
        <w:t xml:space="preserve">Local council digital transformation projects and SME involvement</w:t>
      </w:r>
    </w:p>
    <w:p>
      <w:pPr>
        <w:pStyle w:val="Compact"/>
        <w:numPr>
          <w:ilvl w:val="0"/>
          <w:numId w:val="1016"/>
        </w:numPr>
      </w:pPr>
      <w:r>
        <w:t xml:space="preserve">Health &amp; Social Care innovation challenges</w:t>
      </w:r>
    </w:p>
    <w:p>
      <w:pPr>
        <w:pStyle w:val="FirstParagraph"/>
      </w:pPr>
      <w:r>
        <w:rPr>
          <w:b/>
          <w:bCs/>
        </w:rPr>
        <w:t xml:space="preserve">Ireland:</w:t>
      </w:r>
    </w:p>
    <w:p>
      <w:pPr>
        <w:pStyle w:val="Compact"/>
        <w:numPr>
          <w:ilvl w:val="0"/>
          <w:numId w:val="1017"/>
        </w:numPr>
      </w:pPr>
      <w:r>
        <w:t xml:space="preserve">Office of Government Procurement (OGP) innovation partnership procedures</w:t>
      </w:r>
    </w:p>
    <w:p>
      <w:pPr>
        <w:pStyle w:val="Compact"/>
        <w:numPr>
          <w:ilvl w:val="0"/>
          <w:numId w:val="1017"/>
        </w:numPr>
      </w:pPr>
      <w:r>
        <w:t xml:space="preserve">Enterprise Ireland SBIR (Small Business Innovation Research) programme</w:t>
      </w:r>
    </w:p>
    <w:p>
      <w:pPr>
        <w:pStyle w:val="Compact"/>
        <w:numPr>
          <w:ilvl w:val="0"/>
          <w:numId w:val="1017"/>
        </w:numPr>
      </w:pPr>
      <w:r>
        <w:t xml:space="preserve">Public service innovation challenges (e.g., GovTech initiatives)</w:t>
      </w:r>
    </w:p>
    <w:p>
      <w:pPr>
        <w:pStyle w:val="Compact"/>
        <w:numPr>
          <w:ilvl w:val="0"/>
          <w:numId w:val="1017"/>
        </w:numPr>
      </w:pPr>
      <w:r>
        <w:t xml:space="preserve">HSE innovation procurement</w:t>
      </w:r>
    </w:p>
    <w:p>
      <w:pPr>
        <w:pStyle w:val="Compact"/>
        <w:numPr>
          <w:ilvl w:val="0"/>
          <w:numId w:val="1017"/>
        </w:numPr>
      </w:pPr>
      <w:r>
        <w:t xml:space="preserve">Local authority digital projects</w:t>
      </w:r>
    </w:p>
    <w:p>
      <w:pPr>
        <w:pStyle w:val="FirstParagraph"/>
      </w:pPr>
      <w:r>
        <w:rPr>
          <w:b/>
          <w:bCs/>
        </w:rPr>
        <w:t xml:space="preserve">Cross-border:</w:t>
      </w:r>
    </w:p>
    <w:p>
      <w:pPr>
        <w:pStyle w:val="Compact"/>
        <w:numPr>
          <w:ilvl w:val="0"/>
          <w:numId w:val="1018"/>
        </w:numPr>
      </w:pPr>
      <w:r>
        <w:t xml:space="preserve">InterTradeIreland's existing innovation programmes and their AI component</w:t>
      </w:r>
    </w:p>
    <w:p>
      <w:pPr>
        <w:pStyle w:val="Compact"/>
        <w:numPr>
          <w:ilvl w:val="0"/>
          <w:numId w:val="1018"/>
        </w:numPr>
      </w:pPr>
      <w:r>
        <w:t xml:space="preserve">EU-funded cross-border programmes (PEACEPLUS innovation strands)</w:t>
      </w:r>
    </w:p>
    <w:p>
      <w:pPr>
        <w:pStyle w:val="Compact"/>
        <w:numPr>
          <w:ilvl w:val="0"/>
          <w:numId w:val="1018"/>
        </w:numPr>
      </w:pPr>
      <w:r>
        <w:t xml:space="preserve">North-South research collaborations with SME participation</w:t>
      </w:r>
    </w:p>
    <w:bookmarkEnd w:id="46"/>
    <w:bookmarkStart w:id="47" w:name="X26157f74e37ac7d84e02ccc2296fdd53bdeebaf"/>
    <w:p>
      <w:pPr>
        <w:pStyle w:val="Heading4"/>
      </w:pPr>
      <w:r>
        <w:t xml:space="preserve">4.2 Stakeholder Engagement — Public Sector Perspective</w:t>
      </w:r>
    </w:p>
    <w:p>
      <w:pPr>
        <w:pStyle w:val="FirstParagraph"/>
      </w:pPr>
      <w:r>
        <w:t xml:space="preserve">Targeted interviews with procurement policy leads in CPD and OGP; innovation programme managers in Invest NI and Enterprise Ireland; InterTradeIreland programme delivery teams; 3–5 SMEs that have participated in public sector innovation procurement (success stories and challenges); and 3–5 SMEs that attempted to participate but faced barriers. This dual perspective (buyer and supplier) ensures recommendations address both sides of the market.</w:t>
      </w:r>
    </w:p>
    <w:bookmarkEnd w:id="47"/>
    <w:bookmarkStart w:id="48" w:name="international-comparisons"/>
    <w:p>
      <w:pPr>
        <w:pStyle w:val="Heading4"/>
      </w:pPr>
      <w:r>
        <w:t xml:space="preserve">4.3 International Comparisons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Country</w:t>
            </w:r>
          </w:p>
        </w:tc>
        <w:tc>
          <w:tcPr/>
          <w:p>
            <w:pPr>
              <w:pStyle w:val="Compact"/>
            </w:pPr>
            <w:r>
              <w:t xml:space="preserve">Programme</w:t>
            </w:r>
          </w:p>
        </w:tc>
        <w:tc>
          <w:tcPr/>
          <w:p>
            <w:pPr>
              <w:pStyle w:val="Compact"/>
            </w:pPr>
            <w:r>
              <w:t xml:space="preserve">Key Feature</w:t>
            </w:r>
          </w:p>
        </w:tc>
        <w:tc>
          <w:tcPr/>
          <w:p>
            <w:pPr>
              <w:pStyle w:val="Compact"/>
            </w:pPr>
            <w:r>
              <w:t xml:space="preserve">Transferability</w:t>
            </w:r>
          </w:p>
        </w:tc>
      </w:tr>
      <w:tr>
        <w:tc>
          <w:tcPr/>
          <w:p>
            <w:pPr>
              <w:pStyle w:val="Compact"/>
            </w:pPr>
            <w:r>
              <w:rPr>
                <w:b/>
                <w:bCs/>
              </w:rPr>
              <w:t xml:space="preserve">UK (England)</w:t>
            </w:r>
          </w:p>
        </w:tc>
        <w:tc>
          <w:tcPr/>
          <w:p>
            <w:pPr>
              <w:pStyle w:val="Compact"/>
            </w:pPr>
            <w:r>
              <w:t xml:space="preserve">GovTech Catalyst</w:t>
            </w:r>
          </w:p>
        </w:tc>
        <w:tc>
          <w:tcPr/>
          <w:p>
            <w:pPr>
              <w:pStyle w:val="Compact"/>
            </w:pPr>
            <w:r>
              <w:t xml:space="preserve">Challenge-led funding for SME tech solutions to public sector problems</w:t>
            </w:r>
          </w:p>
        </w:tc>
        <w:tc>
          <w:tcPr/>
          <w:p>
            <w:pPr>
              <w:pStyle w:val="Compact"/>
            </w:pPr>
            <w:r>
              <w:t xml:space="preserve">High</w:t>
            </w:r>
          </w:p>
        </w:tc>
      </w:tr>
      <w:tr>
        <w:tc>
          <w:tcPr/>
          <w:p>
            <w:pPr>
              <w:pStyle w:val="Compact"/>
            </w:pPr>
            <w:r>
              <w:rPr>
                <w:b/>
                <w:bCs/>
              </w:rPr>
              <w:t xml:space="preserve">Scotland</w:t>
            </w:r>
          </w:p>
        </w:tc>
        <w:tc>
          <w:tcPr/>
          <w:p>
            <w:pPr>
              <w:pStyle w:val="Compact"/>
            </w:pPr>
            <w:r>
              <w:t xml:space="preserve">CivTech</w:t>
            </w:r>
          </w:p>
        </w:tc>
        <w:tc>
          <w:tcPr/>
          <w:p>
            <w:pPr>
              <w:pStyle w:val="Compact"/>
            </w:pPr>
            <w:r>
              <w:t xml:space="preserve">Accelerator model connecting public bodies with tech SMEs</w:t>
            </w:r>
          </w:p>
        </w:tc>
        <w:tc>
          <w:tcPr/>
          <w:p>
            <w:pPr>
              <w:pStyle w:val="Compact"/>
            </w:pPr>
            <w:r>
              <w:t xml:space="preserve">Very high</w:t>
            </w:r>
          </w:p>
        </w:tc>
      </w:tr>
      <w:tr>
        <w:tc>
          <w:tcPr/>
          <w:p>
            <w:pPr>
              <w:pStyle w:val="Compact"/>
            </w:pPr>
            <w:r>
              <w:rPr>
                <w:b/>
                <w:bCs/>
              </w:rPr>
              <w:t xml:space="preserve">Denmark</w:t>
            </w:r>
          </w:p>
        </w:tc>
        <w:tc>
          <w:tcPr/>
          <w:p>
            <w:pPr>
              <w:pStyle w:val="Compact"/>
            </w:pPr>
            <w:r>
              <w:t xml:space="preserve">SME:Digital + public sector digital procurement</w:t>
            </w:r>
          </w:p>
        </w:tc>
        <w:tc>
          <w:tcPr/>
          <w:p>
            <w:pPr>
              <w:pStyle w:val="Compact"/>
            </w:pPr>
            <w:r>
              <w:t xml:space="preserve">Coordinated demand-supply approach</w:t>
            </w:r>
          </w:p>
        </w:tc>
        <w:tc>
          <w:tcPr/>
          <w:p>
            <w:pPr>
              <w:pStyle w:val="Compact"/>
            </w:pPr>
            <w:r>
              <w:t xml:space="preserve">High</w:t>
            </w:r>
          </w:p>
        </w:tc>
      </w:tr>
      <w:tr>
        <w:tc>
          <w:tcPr/>
          <w:p>
            <w:pPr>
              <w:pStyle w:val="Compact"/>
            </w:pPr>
            <w:r>
              <w:rPr>
                <w:b/>
                <w:bCs/>
              </w:rPr>
              <w:t xml:space="preserve">Estonia</w:t>
            </w:r>
          </w:p>
        </w:tc>
        <w:tc>
          <w:tcPr/>
          <w:p>
            <w:pPr>
              <w:pStyle w:val="Compact"/>
            </w:pPr>
            <w:r>
              <w:t xml:space="preserve">GovStack / e-Estonia procurement</w:t>
            </w:r>
          </w:p>
        </w:tc>
        <w:tc>
          <w:tcPr/>
          <w:p>
            <w:pPr>
              <w:pStyle w:val="Compact"/>
            </w:pPr>
            <w:r>
              <w:t xml:space="preserve">Digital-first public services creating market for SME AI solutions</w:t>
            </w:r>
          </w:p>
        </w:tc>
        <w:tc>
          <w:tcPr/>
          <w:p>
            <w:pPr>
              <w:pStyle w:val="Compact"/>
            </w:pPr>
            <w:r>
              <w:t xml:space="preserve">Medium</w:t>
            </w:r>
          </w:p>
        </w:tc>
      </w:tr>
      <w:tr>
        <w:tc>
          <w:tcPr/>
          <w:p>
            <w:pPr>
              <w:pStyle w:val="Compact"/>
            </w:pPr>
            <w:r>
              <w:rPr>
                <w:b/>
                <w:bCs/>
              </w:rPr>
              <w:t xml:space="preserve">Netherlands</w:t>
            </w:r>
          </w:p>
        </w:tc>
        <w:tc>
          <w:tcPr/>
          <w:p>
            <w:pPr>
              <w:pStyle w:val="Compact"/>
            </w:pPr>
            <w:r>
              <w:t xml:space="preserve">StartupDelta / PIANOo</w:t>
            </w:r>
          </w:p>
        </w:tc>
        <w:tc>
          <w:tcPr/>
          <w:p>
            <w:pPr>
              <w:pStyle w:val="Compact"/>
            </w:pPr>
            <w:r>
              <w:t xml:space="preserve">Innovation-friendly procurement guidance and SME set-asides</w:t>
            </w:r>
          </w:p>
        </w:tc>
        <w:tc>
          <w:tcPr/>
          <w:p>
            <w:pPr>
              <w:pStyle w:val="Compact"/>
            </w:pPr>
            <w:r>
              <w:t xml:space="preserve">High</w:t>
            </w:r>
          </w:p>
        </w:tc>
      </w:tr>
      <w:tr>
        <w:tc>
          <w:tcPr/>
          <w:p>
            <w:pPr>
              <w:pStyle w:val="Compact"/>
            </w:pPr>
            <w:r>
              <w:rPr>
                <w:b/>
                <w:bCs/>
              </w:rPr>
              <w:t xml:space="preserve">EU</w:t>
            </w:r>
          </w:p>
        </w:tc>
        <w:tc>
          <w:tcPr/>
          <w:p>
            <w:pPr>
              <w:pStyle w:val="Compact"/>
            </w:pPr>
            <w:r>
              <w:t xml:space="preserve">Pre-Commercial Procurement (PCP)</w:t>
            </w:r>
          </w:p>
        </w:tc>
        <w:tc>
          <w:tcPr/>
          <w:p>
            <w:pPr>
              <w:pStyle w:val="Compact"/>
            </w:pPr>
            <w:r>
              <w:t xml:space="preserve">Structured R&amp;D procurement for novel solutions</w:t>
            </w:r>
          </w:p>
        </w:tc>
        <w:tc>
          <w:tcPr/>
          <w:p>
            <w:pPr>
              <w:pStyle w:val="Compact"/>
            </w:pPr>
            <w:r>
              <w:t xml:space="preserve">Relevant for cross-border context</w:t>
            </w:r>
          </w:p>
        </w:tc>
      </w:tr>
    </w:tbl>
    <w:bookmarkEnd w:id="48"/>
    <w:bookmarkStart w:id="49" w:name="Xe974e80960215036c3956b7a531bdf2991839e8"/>
    <w:p>
      <w:pPr>
        <w:pStyle w:val="Heading4"/>
      </w:pPr>
      <w:r>
        <w:t xml:space="preserve">4.4 Barrier Analysis — Why Public Procurement Doesn't Work for SMEs</w:t>
      </w:r>
    </w:p>
    <w:p>
      <w:pPr>
        <w:pStyle w:val="FirstParagraph"/>
      </w:pPr>
      <w:r>
        <w:t xml:space="preserve">Based on our research and experience, we will address common procurement barriers including: lot sizing (contracts too large for SME capacity); track record requirements (catch-22 of needing experience to gain experience); payment terms (cash flow challenges); specification rigidity; bureaucratic burden; risk aversion; and awareness gaps.</w:t>
      </w:r>
    </w:p>
    <w:bookmarkEnd w:id="49"/>
    <w:bookmarkStart w:id="50" w:name="practical-recommendations"/>
    <w:p>
      <w:pPr>
        <w:pStyle w:val="Heading4"/>
      </w:pPr>
      <w:r>
        <w:t xml:space="preserve">4.5 Practical Recommendations</w:t>
      </w:r>
    </w:p>
    <w:p>
      <w:pPr>
        <w:pStyle w:val="Compact"/>
        <w:numPr>
          <w:ilvl w:val="0"/>
          <w:numId w:val="1019"/>
        </w:numPr>
      </w:pPr>
      <w:r>
        <w:rPr>
          <w:b/>
          <w:bCs/>
        </w:rPr>
        <w:t xml:space="preserve">AI Innovation Challenges:</w:t>
      </w:r>
      <w:r>
        <w:t xml:space="preserve"> </w:t>
      </w:r>
      <w:r>
        <w:t xml:space="preserve">An all-island AI challenge fund where public bodies pose problems and SMEs propose AI solutions — InterTradeIreland as the cross-border coordinator</w:t>
      </w:r>
    </w:p>
    <w:p>
      <w:pPr>
        <w:pStyle w:val="Compact"/>
        <w:numPr>
          <w:ilvl w:val="0"/>
          <w:numId w:val="1019"/>
        </w:numPr>
      </w:pPr>
      <w:r>
        <w:rPr>
          <w:b/>
          <w:bCs/>
        </w:rPr>
        <w:t xml:space="preserve">AI Procurement Readiness Toolkit:</w:t>
      </w:r>
      <w:r>
        <w:t xml:space="preserve"> </w:t>
      </w:r>
      <w:r>
        <w:t xml:space="preserve">Guidance for both public buyers and SME suppliers on AI procurement</w:t>
      </w:r>
    </w:p>
    <w:p>
      <w:pPr>
        <w:pStyle w:val="Compact"/>
        <w:numPr>
          <w:ilvl w:val="0"/>
          <w:numId w:val="1019"/>
        </w:numPr>
      </w:pPr>
      <w:r>
        <w:rPr>
          <w:b/>
          <w:bCs/>
        </w:rPr>
        <w:t xml:space="preserve">Dynamic Purchasing Systems for AI Services:</w:t>
      </w:r>
      <w:r>
        <w:t xml:space="preserve"> </w:t>
      </w:r>
      <w:r>
        <w:t xml:space="preserve">Simplified frameworks for public bodies to access SME AI providers</w:t>
      </w:r>
    </w:p>
    <w:p>
      <w:pPr>
        <w:pStyle w:val="Compact"/>
        <w:numPr>
          <w:ilvl w:val="0"/>
          <w:numId w:val="1019"/>
        </w:numPr>
      </w:pPr>
      <w:r>
        <w:rPr>
          <w:b/>
          <w:bCs/>
        </w:rPr>
        <w:t xml:space="preserve">Sandbox/Pilot Programmes:</w:t>
      </w:r>
      <w:r>
        <w:t xml:space="preserve"> </w:t>
      </w:r>
      <w:r>
        <w:t xml:space="preserve">Structured pilot programmes where SMEs can test AI solutions in public sector environments with reduced risk</w:t>
      </w:r>
    </w:p>
    <w:p>
      <w:pPr>
        <w:pStyle w:val="Compact"/>
        <w:numPr>
          <w:ilvl w:val="0"/>
          <w:numId w:val="1019"/>
        </w:numPr>
      </w:pPr>
      <w:r>
        <w:rPr>
          <w:b/>
          <w:bCs/>
        </w:rPr>
        <w:t xml:space="preserve">Cross-border procurement collaboration:</w:t>
      </w:r>
      <w:r>
        <w:t xml:space="preserve"> </w:t>
      </w:r>
      <w:r>
        <w:t xml:space="preserve">Mechanisms for public bodies in both jurisdictions to jointly commission AI solutions</w:t>
      </w:r>
    </w:p>
    <w:bookmarkEnd w:id="50"/>
    <w:bookmarkEnd w:id="51"/>
    <w:bookmarkStart w:id="52" w:name="key-differentiator-3"/>
    <w:p>
      <w:pPr>
        <w:pStyle w:val="Heading3"/>
      </w:pPr>
      <w:r>
        <w:t xml:space="preserve">Key Differentiator</w:t>
      </w:r>
    </w:p>
    <w:p>
      <w:pPr>
        <w:pStyle w:val="FirstParagraph"/>
      </w:pPr>
      <w:r>
        <w:t xml:space="preserve">Blue Canvas understands both sides of the procurement equation. As an SME providing AI services, we experience the procurement barriers first-hand. We also understand what public sector bodies need from AI suppliers — reliability, compliance, and measurable outcomes. This dual perspective ensures our recommendations are grounded in practical reality.</w:t>
      </w:r>
    </w:p>
    <w:bookmarkEnd w:id="52"/>
    <w:bookmarkStart w:id="53" w:name="deliverable-3"/>
    <w:p>
      <w:pPr>
        <w:pStyle w:val="Heading3"/>
      </w:pPr>
      <w:r>
        <w:t xml:space="preserve">Deliverable</w:t>
      </w:r>
    </w:p>
    <w:p>
      <w:pPr>
        <w:pStyle w:val="FirstParagraph"/>
      </w:pPr>
      <w:r>
        <w:t xml:space="preserve">A comprehensive Public Sector chapter forming Part 4 of the final report, including the current mechanisms audit, stakeholder perspectives from both buyers and suppliers, international comparison matrix, barrier analysis, and specific implementable recommendations.</w:t>
      </w:r>
    </w:p>
    <w:bookmarkEnd w:id="53"/>
    <w:bookmarkEnd w:id="54"/>
    <w:bookmarkStart w:id="67" w:name="X4248db77a5f1d4af4260c7894301fb96707380d"/>
    <w:p>
      <w:pPr>
        <w:pStyle w:val="Heading2"/>
      </w:pPr>
      <w:r>
        <w:t xml:space="preserve">7. AC-5: Actionable Recommendations (20% — Double Weighted)</w:t>
      </w:r>
    </w:p>
    <w:bookmarkStart w:id="55" w:name="overview-4"/>
    <w:p>
      <w:pPr>
        <w:pStyle w:val="Heading3"/>
      </w:pPr>
      <w:r>
        <w:t xml:space="preserve">Overview</w:t>
      </w:r>
    </w:p>
    <w:p>
      <w:pPr>
        <w:pStyle w:val="FirstParagraph"/>
      </w:pPr>
      <w:r>
        <w:t xml:space="preserve">This section delivers the core output of the research: clear, specific, and actionable recommendations tailored to InterTradeIreland's strategic objectives and those of its government partners. Every recommendation is designed to be implementable, costed where appropriate, and aligned with the productivity and competitiveness priorities in both Programmes for Government, national AI strategies, and InterTradeIreland's Corporate Plan 2023–25.</w:t>
      </w:r>
    </w:p>
    <w:bookmarkEnd w:id="55"/>
    <w:bookmarkStart w:id="56" w:name="guiding-principles"/>
    <w:p>
      <w:pPr>
        <w:pStyle w:val="Heading3"/>
      </w:pPr>
      <w:r>
        <w:t xml:space="preserve">Guiding Principles</w:t>
      </w:r>
    </w:p>
    <w:p>
      <w:pPr>
        <w:pStyle w:val="FirstParagraph"/>
      </w:pPr>
      <w:r>
        <w:t xml:space="preserve">All recommendations will be:</w:t>
      </w:r>
    </w:p>
    <w:p>
      <w:pPr>
        <w:pStyle w:val="Compact"/>
        <w:numPr>
          <w:ilvl w:val="0"/>
          <w:numId w:val="1020"/>
        </w:numPr>
      </w:pPr>
      <w:r>
        <w:rPr>
          <w:b/>
          <w:bCs/>
        </w:rPr>
        <w:t xml:space="preserve">Specific and actionable</w:t>
      </w:r>
      <w:r>
        <w:t xml:space="preserve"> </w:t>
      </w:r>
      <w:r>
        <w:t xml:space="preserve">— not generic "more should be done" statements; each recommendation identifies the action, the actor, the mechanism, the timeframe, and the expected outcome</w:t>
      </w:r>
    </w:p>
    <w:p>
      <w:pPr>
        <w:pStyle w:val="Compact"/>
        <w:numPr>
          <w:ilvl w:val="0"/>
          <w:numId w:val="1020"/>
        </w:numPr>
      </w:pPr>
      <w:r>
        <w:rPr>
          <w:b/>
          <w:bCs/>
        </w:rPr>
        <w:t xml:space="preserve">Aligned to existing strategy</w:t>
      </w:r>
      <w:r>
        <w:t xml:space="preserve"> </w:t>
      </w:r>
      <w:r>
        <w:t xml:space="preserve">— mapped explicitly to InterTradeIreland's Corporate Plan, both Programmes for Government, and national AI strategies</w:t>
      </w:r>
    </w:p>
    <w:p>
      <w:pPr>
        <w:pStyle w:val="Compact"/>
        <w:numPr>
          <w:ilvl w:val="0"/>
          <w:numId w:val="1020"/>
        </w:numPr>
      </w:pPr>
      <w:r>
        <w:rPr>
          <w:b/>
          <w:bCs/>
        </w:rPr>
        <w:t xml:space="preserve">Additive, not duplicative</w:t>
      </w:r>
      <w:r>
        <w:t xml:space="preserve"> </w:t>
      </w:r>
      <w:r>
        <w:t xml:space="preserve">— each recommendation identifies where InterTradeIreland adds unique value that neither jurisdiction can deliver alone</w:t>
      </w:r>
    </w:p>
    <w:p>
      <w:pPr>
        <w:pStyle w:val="Compact"/>
        <w:numPr>
          <w:ilvl w:val="0"/>
          <w:numId w:val="1020"/>
        </w:numPr>
      </w:pPr>
      <w:r>
        <w:rPr>
          <w:b/>
          <w:bCs/>
        </w:rPr>
        <w:t xml:space="preserve">Evidence-based</w:t>
      </w:r>
      <w:r>
        <w:t xml:space="preserve"> </w:t>
      </w:r>
      <w:r>
        <w:t xml:space="preserve">— grounded in primary research findings, international benchmarking, and SME case studies from this project</w:t>
      </w:r>
    </w:p>
    <w:p>
      <w:pPr>
        <w:pStyle w:val="Compact"/>
        <w:numPr>
          <w:ilvl w:val="0"/>
          <w:numId w:val="1020"/>
        </w:numPr>
      </w:pPr>
      <w:r>
        <w:rPr>
          <w:b/>
          <w:bCs/>
        </w:rPr>
        <w:t xml:space="preserve">Prioritised</w:t>
      </w:r>
      <w:r>
        <w:t xml:space="preserve"> </w:t>
      </w:r>
      <w:r>
        <w:t xml:space="preserve">— categorised by impact, feasibility, and timeframe (quick wins, medium-term, strategic)</w:t>
      </w:r>
    </w:p>
    <w:bookmarkEnd w:id="56"/>
    <w:bookmarkStart w:id="57" w:name="development-process"/>
    <w:p>
      <w:pPr>
        <w:pStyle w:val="Heading3"/>
      </w:pPr>
      <w:r>
        <w:t xml:space="preserve">Development Process</w:t>
      </w:r>
    </w:p>
    <w:p>
      <w:pPr>
        <w:pStyle w:val="Compact"/>
        <w:numPr>
          <w:ilvl w:val="0"/>
          <w:numId w:val="1021"/>
        </w:numPr>
      </w:pPr>
      <w:r>
        <w:rPr>
          <w:b/>
          <w:bCs/>
        </w:rPr>
        <w:t xml:space="preserve">Evidence synthesis</w:t>
      </w:r>
      <w:r>
        <w:t xml:space="preserve"> </w:t>
      </w:r>
      <w:r>
        <w:t xml:space="preserve">(Week 8): Consolidate findings from AC-1 through AC-4 into a structured evidence base</w:t>
      </w:r>
    </w:p>
    <w:p>
      <w:pPr>
        <w:pStyle w:val="Compact"/>
        <w:numPr>
          <w:ilvl w:val="0"/>
          <w:numId w:val="1021"/>
        </w:numPr>
      </w:pPr>
      <w:r>
        <w:rPr>
          <w:b/>
          <w:bCs/>
        </w:rPr>
        <w:t xml:space="preserve">Recommendation workshop</w:t>
      </w:r>
      <w:r>
        <w:t xml:space="preserve"> </w:t>
      </w:r>
      <w:r>
        <w:t xml:space="preserve">(Week 9): Facilitated session with InterTradeIreland steering group to test emerging recommendations</w:t>
      </w:r>
    </w:p>
    <w:p>
      <w:pPr>
        <w:pStyle w:val="Compact"/>
        <w:numPr>
          <w:ilvl w:val="0"/>
          <w:numId w:val="1021"/>
        </w:numPr>
      </w:pPr>
      <w:r>
        <w:rPr>
          <w:b/>
          <w:bCs/>
        </w:rPr>
        <w:t xml:space="preserve">Stakeholder validation</w:t>
      </w:r>
      <w:r>
        <w:t xml:space="preserve"> </w:t>
      </w:r>
      <w:r>
        <w:t xml:space="preserve">(Week 10): Share draft recommendations with 6–8 key stakeholders for feasibility testing</w:t>
      </w:r>
    </w:p>
    <w:p>
      <w:pPr>
        <w:pStyle w:val="Compact"/>
        <w:numPr>
          <w:ilvl w:val="0"/>
          <w:numId w:val="1021"/>
        </w:numPr>
      </w:pPr>
      <w:r>
        <w:rPr>
          <w:b/>
          <w:bCs/>
        </w:rPr>
        <w:t xml:space="preserve">Refinement and prioritisation</w:t>
      </w:r>
      <w:r>
        <w:t xml:space="preserve"> </w:t>
      </w:r>
      <w:r>
        <w:t xml:space="preserve">(Weeks 11–12): Final recommendations incorporating all feedback, with implementation roadmap</w:t>
      </w:r>
    </w:p>
    <w:bookmarkEnd w:id="57"/>
    <w:bookmarkStart w:id="58" w:name="X41201372a974517fb047cb2e294c8acc56765a0"/>
    <w:p>
      <w:pPr>
        <w:pStyle w:val="Heading3"/>
      </w:pPr>
      <w:r>
        <w:t xml:space="preserve">PILLAR 1: All-Island AI Knowledge and Coordination</w:t>
      </w:r>
    </w:p>
    <w:p>
      <w:pPr>
        <w:pStyle w:val="FirstParagraph"/>
      </w:pPr>
      <w:r>
        <w:rPr>
          <w:b/>
          <w:bCs/>
        </w:rPr>
        <w:t xml:space="preserve">Recommendation 1.1 — Establish an All-Island AI for SMEs Observatory</w:t>
      </w:r>
    </w:p>
    <w:p>
      <w:pPr>
        <w:pStyle w:val="BodyText"/>
      </w:pPr>
      <w:r>
        <w:t xml:space="preserve">InterTradeIreland should create a lightweight, ongoing research and monitoring function that tracks AI adoption across both jurisdictions, maintains the landscape map produced by this research, and publishes annual benchmarking data.</w:t>
      </w:r>
    </w:p>
    <w:p>
      <w:pPr>
        <w:pStyle w:val="BodyText"/>
      </w:pPr>
      <w:r>
        <w:rPr>
          <w:b/>
          <w:bCs/>
        </w:rPr>
        <w:t xml:space="preserve">Rationale:</w:t>
      </w:r>
      <w:r>
        <w:t xml:space="preserve"> </w:t>
      </w:r>
      <w:r>
        <w:t xml:space="preserve">Current research is fragmented and jurisdiction-specific. No single body monitors all-island SME AI adoption.</w:t>
      </w:r>
    </w:p>
    <w:p>
      <w:pPr>
        <w:pStyle w:val="BodyText"/>
      </w:pPr>
      <w:r>
        <w:rPr>
          <w:b/>
          <w:bCs/>
        </w:rPr>
        <w:t xml:space="preserve">InterTradeIreland's unique role:</w:t>
      </w:r>
      <w:r>
        <w:t xml:space="preserve"> </w:t>
      </w:r>
      <w:r>
        <w:t xml:space="preserve">Only body with the mandate and relationships to deliver all-island data collection and analysis.</w:t>
      </w:r>
    </w:p>
    <w:p>
      <w:pPr>
        <w:pStyle w:val="BodyText"/>
      </w:pPr>
      <w:r>
        <w:rPr>
          <w:b/>
          <w:bCs/>
        </w:rPr>
        <w:t xml:space="preserve">Implementation:</w:t>
      </w:r>
      <w:r>
        <w:t xml:space="preserve"> </w:t>
      </w:r>
      <w:r>
        <w:t xml:space="preserve">Commission annual survey; publish All-Island AI Adoption Index; share data with DETE, DfE, and enterprise agencies.</w:t>
      </w:r>
    </w:p>
    <w:p>
      <w:pPr>
        <w:pStyle w:val="BodyText"/>
      </w:pPr>
      <w:r>
        <w:rPr>
          <w:b/>
          <w:bCs/>
        </w:rPr>
        <w:t xml:space="preserve">Estimated cost:</w:t>
      </w:r>
      <w:r>
        <w:t xml:space="preserve"> </w:t>
      </w:r>
      <w:r>
        <w:t xml:space="preserve">£25,000–35,000 per annum.</w:t>
      </w:r>
      <w:r>
        <w:t xml:space="preserve"> </w:t>
      </w:r>
      <w:r>
        <w:rPr>
          <w:b/>
          <w:bCs/>
        </w:rPr>
        <w:t xml:space="preserve">Timeframe:</w:t>
      </w:r>
      <w:r>
        <w:t xml:space="preserve"> </w:t>
      </w:r>
      <w:r>
        <w:t xml:space="preserve">Establish within 6 months.</w:t>
      </w:r>
    </w:p>
    <w:p>
      <w:pPr>
        <w:pStyle w:val="BodyText"/>
      </w:pPr>
      <w:r>
        <w:rPr>
          <w:b/>
          <w:bCs/>
        </w:rPr>
        <w:t xml:space="preserve">Recommendation 1.2 — Cross-Border AI Policy Coordination Forum</w:t>
      </w:r>
    </w:p>
    <w:p>
      <w:pPr>
        <w:pStyle w:val="BodyText"/>
      </w:pPr>
      <w:r>
        <w:t xml:space="preserve">Establish a biannual policy coordination forum bringing together AI policy leads from DfE, DETE, Invest NI, Enterprise Ireland, AICC, and other stakeholders to align interventions, share intelligence, and avoid duplication.</w:t>
      </w:r>
    </w:p>
    <w:p>
      <w:pPr>
        <w:pStyle w:val="BodyText"/>
      </w:pPr>
      <w:r>
        <w:rPr>
          <w:b/>
          <w:bCs/>
        </w:rPr>
        <w:t xml:space="preserve">InterTradeIreland's unique role:</w:t>
      </w:r>
      <w:r>
        <w:t xml:space="preserve"> </w:t>
      </w:r>
      <w:r>
        <w:t xml:space="preserve">Convening power across both jurisdictions; neutral all-island platform.</w:t>
      </w:r>
    </w:p>
    <w:p>
      <w:pPr>
        <w:pStyle w:val="BodyText"/>
      </w:pPr>
      <w:r>
        <w:rPr>
          <w:b/>
          <w:bCs/>
        </w:rPr>
        <w:t xml:space="preserve">Implementation:</w:t>
      </w:r>
      <w:r>
        <w:t xml:space="preserve"> </w:t>
      </w:r>
      <w:r>
        <w:t xml:space="preserve">Biannual half-day events (rotating Belfast/Dublin); published communiqué; action tracking.</w:t>
      </w:r>
    </w:p>
    <w:p>
      <w:pPr>
        <w:pStyle w:val="BodyText"/>
      </w:pPr>
      <w:r>
        <w:rPr>
          <w:b/>
          <w:bCs/>
        </w:rPr>
        <w:t xml:space="preserve">Estimated cost:</w:t>
      </w:r>
      <w:r>
        <w:t xml:space="preserve"> </w:t>
      </w:r>
      <w:r>
        <w:t xml:space="preserve">£8,000–12,000 per annum.</w:t>
      </w:r>
      <w:r>
        <w:t xml:space="preserve"> </w:t>
      </w:r>
      <w:r>
        <w:rPr>
          <w:b/>
          <w:bCs/>
        </w:rPr>
        <w:t xml:space="preserve">Timeframe:</w:t>
      </w:r>
      <w:r>
        <w:t xml:space="preserve"> </w:t>
      </w:r>
      <w:r>
        <w:t xml:space="preserve">First meeting within 3 months.</w:t>
      </w:r>
    </w:p>
    <w:bookmarkEnd w:id="58"/>
    <w:bookmarkStart w:id="59" w:name="pillar-2-sme-ai-adoption-support"/>
    <w:p>
      <w:pPr>
        <w:pStyle w:val="Heading3"/>
      </w:pPr>
      <w:r>
        <w:t xml:space="preserve">PILLAR 2: SME AI Adoption Support</w:t>
      </w:r>
    </w:p>
    <w:p>
      <w:pPr>
        <w:pStyle w:val="FirstParagraph"/>
      </w:pPr>
      <w:r>
        <w:rPr>
          <w:b/>
          <w:bCs/>
        </w:rPr>
        <w:t xml:space="preserve">Recommendation 2.1 — All-Island AI Readiness Programme for SMEs</w:t>
      </w:r>
    </w:p>
    <w:p>
      <w:pPr>
        <w:pStyle w:val="BodyText"/>
      </w:pPr>
      <w:r>
        <w:t xml:space="preserve">A structured, cross-border programme providing SMEs with:</w:t>
      </w:r>
    </w:p>
    <w:p>
      <w:pPr>
        <w:pStyle w:val="Compact"/>
        <w:numPr>
          <w:ilvl w:val="0"/>
          <w:numId w:val="1022"/>
        </w:numPr>
      </w:pPr>
      <w:r>
        <w:rPr>
          <w:b/>
          <w:bCs/>
        </w:rPr>
        <w:t xml:space="preserve">Stage 1 — AI Readiness Assessment:</w:t>
      </w:r>
      <w:r>
        <w:t xml:space="preserve"> </w:t>
      </w:r>
      <w:r>
        <w:t xml:space="preserve">Free online self-assessment tool</w:t>
      </w:r>
    </w:p>
    <w:p>
      <w:pPr>
        <w:pStyle w:val="Compact"/>
        <w:numPr>
          <w:ilvl w:val="0"/>
          <w:numId w:val="1022"/>
        </w:numPr>
      </w:pPr>
      <w:r>
        <w:rPr>
          <w:b/>
          <w:bCs/>
        </w:rPr>
        <w:t xml:space="preserve">Stage 2 — AI Discovery Workshops:</w:t>
      </w:r>
      <w:r>
        <w:t xml:space="preserve"> </w:t>
      </w:r>
      <w:r>
        <w:t xml:space="preserve">Half-day sector-specific workshops across both jurisdictions</w:t>
      </w:r>
    </w:p>
    <w:p>
      <w:pPr>
        <w:pStyle w:val="Compact"/>
        <w:numPr>
          <w:ilvl w:val="0"/>
          <w:numId w:val="1022"/>
        </w:numPr>
      </w:pPr>
      <w:r>
        <w:rPr>
          <w:b/>
          <w:bCs/>
        </w:rPr>
        <w:t xml:space="preserve">Stage 3 — AI Implementation Support:</w:t>
      </w:r>
      <w:r>
        <w:t xml:space="preserve"> </w:t>
      </w:r>
      <w:r>
        <w:t xml:space="preserve">Matched co-funding (£5,000–£10,000) for first substantive AI projects</w:t>
      </w:r>
    </w:p>
    <w:p>
      <w:pPr>
        <w:pStyle w:val="FirstParagraph"/>
      </w:pPr>
      <w:r>
        <w:rPr>
          <w:b/>
          <w:bCs/>
        </w:rPr>
        <w:t xml:space="preserve">Implementation:</w:t>
      </w:r>
      <w:r>
        <w:t xml:space="preserve"> </w:t>
      </w:r>
      <w:r>
        <w:t xml:space="preserve">Year 1 pilot with 100 SMEs (50 per jurisdiction); evaluate and scale.</w:t>
      </w:r>
    </w:p>
    <w:p>
      <w:pPr>
        <w:pStyle w:val="BodyText"/>
      </w:pPr>
      <w:r>
        <w:rPr>
          <w:b/>
          <w:bCs/>
        </w:rPr>
        <w:t xml:space="preserve">Estimated programme cost:</w:t>
      </w:r>
      <w:r>
        <w:t xml:space="preserve"> </w:t>
      </w:r>
      <w:r>
        <w:t xml:space="preserve">£200,000–£350,000 per annum.</w:t>
      </w:r>
      <w:r>
        <w:t xml:space="preserve"> </w:t>
      </w:r>
      <w:r>
        <w:rPr>
          <w:b/>
          <w:bCs/>
        </w:rPr>
        <w:t xml:space="preserve">Timeframe:</w:t>
      </w:r>
      <w:r>
        <w:t xml:space="preserve"> </w:t>
      </w:r>
      <w:r>
        <w:t xml:space="preserve">Design and pilot within 12 months.</w:t>
      </w:r>
    </w:p>
    <w:p>
      <w:pPr>
        <w:pStyle w:val="BodyText"/>
      </w:pPr>
      <w:r>
        <w:rPr>
          <w:b/>
          <w:bCs/>
        </w:rPr>
        <w:t xml:space="preserve">Recommendation 2.2 — AI Peer Learning Network</w:t>
      </w:r>
    </w:p>
    <w:p>
      <w:pPr>
        <w:pStyle w:val="BodyText"/>
      </w:pPr>
      <w:r>
        <w:t xml:space="preserve">Create a cross-border peer learning network connecting SMEs at similar stages of AI adoption for shared learning, problem-solving, and encouragement.</w:t>
      </w:r>
    </w:p>
    <w:p>
      <w:pPr>
        <w:pStyle w:val="BodyText"/>
      </w:pPr>
      <w:r>
        <w:rPr>
          <w:b/>
          <w:bCs/>
        </w:rPr>
        <w:t xml:space="preserve">Implementation:</w:t>
      </w:r>
      <w:r>
        <w:t xml:space="preserve"> </w:t>
      </w:r>
      <w:r>
        <w:t xml:space="preserve">Monthly online meetups; quarterly in-person events; curated case studies; facilitated by practitioners.</w:t>
      </w:r>
    </w:p>
    <w:p>
      <w:pPr>
        <w:pStyle w:val="BodyText"/>
      </w:pPr>
      <w:r>
        <w:rPr>
          <w:b/>
          <w:bCs/>
        </w:rPr>
        <w:t xml:space="preserve">Estimated cost:</w:t>
      </w:r>
      <w:r>
        <w:t xml:space="preserve"> </w:t>
      </w:r>
      <w:r>
        <w:t xml:space="preserve">£15,000–25,000 per annum.</w:t>
      </w:r>
      <w:r>
        <w:t xml:space="preserve"> </w:t>
      </w:r>
      <w:r>
        <w:rPr>
          <w:b/>
          <w:bCs/>
        </w:rPr>
        <w:t xml:space="preserve">Timeframe:</w:t>
      </w:r>
      <w:r>
        <w:t xml:space="preserve"> </w:t>
      </w:r>
      <w:r>
        <w:t xml:space="preserve">Launch within 6 months.</w:t>
      </w:r>
    </w:p>
    <w:p>
      <w:pPr>
        <w:pStyle w:val="BodyText"/>
      </w:pPr>
      <w:r>
        <w:rPr>
          <w:b/>
          <w:bCs/>
        </w:rPr>
        <w:t xml:space="preserve">Recommendation 2.3 — All-Island AI Voucher Scheme</w:t>
      </w:r>
    </w:p>
    <w:p>
      <w:pPr>
        <w:pStyle w:val="BodyText"/>
      </w:pPr>
      <w:r>
        <w:t xml:space="preserve">A cross-border voucher scheme (modelled on Denmark's SME:Digital) providing SMEs with £2,000–£5,000 to purchase AI advisory services from approved providers.</w:t>
      </w:r>
    </w:p>
    <w:p>
      <w:pPr>
        <w:pStyle w:val="BodyText"/>
      </w:pPr>
      <w:r>
        <w:rPr>
          <w:b/>
          <w:bCs/>
        </w:rPr>
        <w:t xml:space="preserve">Implementation:</w:t>
      </w:r>
      <w:r>
        <w:t xml:space="preserve"> </w:t>
      </w:r>
      <w:r>
        <w:t xml:space="preserve">Panel of approved AI advisors; simple application process; post-project impact reporting.</w:t>
      </w:r>
    </w:p>
    <w:p>
      <w:pPr>
        <w:pStyle w:val="BodyText"/>
      </w:pPr>
      <w:r>
        <w:rPr>
          <w:b/>
          <w:bCs/>
        </w:rPr>
        <w:t xml:space="preserve">Estimated cost:</w:t>
      </w:r>
      <w:r>
        <w:t xml:space="preserve"> </w:t>
      </w:r>
      <w:r>
        <w:t xml:space="preserve">£150,000–£300,000 per annum (50–100 vouchers).</w:t>
      </w:r>
      <w:r>
        <w:t xml:space="preserve"> </w:t>
      </w:r>
      <w:r>
        <w:rPr>
          <w:b/>
          <w:bCs/>
        </w:rPr>
        <w:t xml:space="preserve">Timeframe:</w:t>
      </w:r>
      <w:r>
        <w:t xml:space="preserve"> </w:t>
      </w:r>
      <w:r>
        <w:t xml:space="preserve">First round within 12 months.</w:t>
      </w:r>
    </w:p>
    <w:bookmarkEnd w:id="59"/>
    <w:bookmarkStart w:id="60" w:name="pillar-3-skills-and-talent"/>
    <w:p>
      <w:pPr>
        <w:pStyle w:val="Heading3"/>
      </w:pPr>
      <w:r>
        <w:t xml:space="preserve">PILLAR 3: Skills and Talent</w:t>
      </w:r>
    </w:p>
    <w:p>
      <w:pPr>
        <w:pStyle w:val="FirstParagraph"/>
      </w:pPr>
      <w:r>
        <w:rPr>
          <w:b/>
          <w:bCs/>
        </w:rPr>
        <w:t xml:space="preserve">Recommendation 3.1 — AI Leadership Programme for SME Owners/Managers</w:t>
      </w:r>
    </w:p>
    <w:p>
      <w:pPr>
        <w:pStyle w:val="BodyText"/>
      </w:pPr>
      <w:r>
        <w:t xml:space="preserve">A short, intensive programme (2–3 days) for SME decision-makers covering: what AI can and cannot do; identifying AI opportunities; evaluating AI vendors; managing implementation risk; and navigating regulatory requirements (UK and EU).</w:t>
      </w:r>
    </w:p>
    <w:p>
      <w:pPr>
        <w:pStyle w:val="BodyText"/>
      </w:pPr>
      <w:r>
        <w:rPr>
          <w:b/>
          <w:bCs/>
        </w:rPr>
        <w:t xml:space="preserve">Implementation:</w:t>
      </w:r>
      <w:r>
        <w:t xml:space="preserve"> </w:t>
      </w:r>
      <w:r>
        <w:t xml:space="preserve">Cross-border delivery; cohorts of 15–20; delivered by practitioners.</w:t>
      </w:r>
    </w:p>
    <w:p>
      <w:pPr>
        <w:pStyle w:val="BodyText"/>
      </w:pPr>
      <w:r>
        <w:rPr>
          <w:b/>
          <w:bCs/>
        </w:rPr>
        <w:t xml:space="preserve">Estimated cost:</w:t>
      </w:r>
      <w:r>
        <w:t xml:space="preserve"> </w:t>
      </w:r>
      <w:r>
        <w:t xml:space="preserve">£3,000–5,000 per cohort; 6–8 cohorts per year = £25,000–40,000.</w:t>
      </w:r>
      <w:r>
        <w:t xml:space="preserve"> </w:t>
      </w:r>
      <w:r>
        <w:rPr>
          <w:b/>
          <w:bCs/>
        </w:rPr>
        <w:t xml:space="preserve">Timeframe:</w:t>
      </w:r>
      <w:r>
        <w:t xml:space="preserve"> </w:t>
      </w:r>
      <w:r>
        <w:t xml:space="preserve">Pilot within 6 months.</w:t>
      </w:r>
    </w:p>
    <w:p>
      <w:pPr>
        <w:pStyle w:val="BodyText"/>
      </w:pPr>
      <w:r>
        <w:rPr>
          <w:b/>
          <w:bCs/>
        </w:rPr>
        <w:t xml:space="preserve">Recommendation 3.2 — Cross-Border AI Talent Pipeline Initiative</w:t>
      </w:r>
    </w:p>
    <w:p>
      <w:pPr>
        <w:pStyle w:val="BodyText"/>
      </w:pPr>
      <w:r>
        <w:t xml:space="preserve">Work with universities and FE colleges across both jurisdictions to develop applied AI modules with SME placement components, building on InterTradeIreland's existing Fusion programme model.</w:t>
      </w:r>
    </w:p>
    <w:p>
      <w:pPr>
        <w:pStyle w:val="BodyText"/>
      </w:pPr>
      <w:r>
        <w:rPr>
          <w:b/>
          <w:bCs/>
        </w:rPr>
        <w:t xml:space="preserve">Implementation:</w:t>
      </w:r>
      <w:r>
        <w:t xml:space="preserve"> </w:t>
      </w:r>
      <w:r>
        <w:t xml:space="preserve">Partner with 4–6 institutions; 20–30 placements per year.</w:t>
      </w:r>
    </w:p>
    <w:p>
      <w:pPr>
        <w:pStyle w:val="BodyText"/>
      </w:pPr>
      <w:r>
        <w:rPr>
          <w:b/>
          <w:bCs/>
        </w:rPr>
        <w:t xml:space="preserve">Estimated cost:</w:t>
      </w:r>
      <w:r>
        <w:t xml:space="preserve"> </w:t>
      </w:r>
      <w:r>
        <w:t xml:space="preserve">£100,000–200,000 per annum.</w:t>
      </w:r>
      <w:r>
        <w:t xml:space="preserve"> </w:t>
      </w:r>
      <w:r>
        <w:rPr>
          <w:b/>
          <w:bCs/>
        </w:rPr>
        <w:t xml:space="preserve">Timeframe:</w:t>
      </w:r>
      <w:r>
        <w:t xml:space="preserve"> </w:t>
      </w:r>
      <w:r>
        <w:t xml:space="preserve">First cohort within academic year 2026/27.</w:t>
      </w:r>
    </w:p>
    <w:bookmarkEnd w:id="60"/>
    <w:bookmarkStart w:id="61" w:name="pillar-4-public-sector-as-demand-driver"/>
    <w:p>
      <w:pPr>
        <w:pStyle w:val="Heading3"/>
      </w:pPr>
      <w:r>
        <w:t xml:space="preserve">PILLAR 4: Public Sector as Demand Driver</w:t>
      </w:r>
    </w:p>
    <w:p>
      <w:pPr>
        <w:pStyle w:val="FirstParagraph"/>
      </w:pPr>
      <w:r>
        <w:rPr>
          <w:b/>
          <w:bCs/>
        </w:rPr>
        <w:t xml:space="preserve">Recommendation 4.1 — All-Island AI Innovation Challenge Programme</w:t>
      </w:r>
    </w:p>
    <w:p>
      <w:pPr>
        <w:pStyle w:val="BodyText"/>
      </w:pPr>
      <w:r>
        <w:t xml:space="preserve">Modelled on Scotland's CivTech and the UK GovTech Catalyst: public bodies define challenges, SMEs compete to develop AI-powered prototypes, winners receive development funding and pilot opportunities.</w:t>
      </w:r>
    </w:p>
    <w:p>
      <w:pPr>
        <w:pStyle w:val="BodyText"/>
      </w:pPr>
      <w:r>
        <w:rPr>
          <w:b/>
          <w:bCs/>
        </w:rPr>
        <w:t xml:space="preserve">InterTradeIreland's unique role:</w:t>
      </w:r>
      <w:r>
        <w:t xml:space="preserve"> </w:t>
      </w:r>
      <w:r>
        <w:t xml:space="preserve">Cross-border coordination; enabling public bodies from both jurisdictions to collaborate on shared challenges.</w:t>
      </w:r>
    </w:p>
    <w:p>
      <w:pPr>
        <w:pStyle w:val="BodyText"/>
      </w:pPr>
      <w:r>
        <w:rPr>
          <w:b/>
          <w:bCs/>
        </w:rPr>
        <w:t xml:space="preserve">Implementation:</w:t>
      </w:r>
      <w:r>
        <w:t xml:space="preserve"> </w:t>
      </w:r>
      <w:r>
        <w:t xml:space="preserve">2–3 challenge rounds per year; 5–10 challenges per round.</w:t>
      </w:r>
    </w:p>
    <w:p>
      <w:pPr>
        <w:pStyle w:val="BodyText"/>
      </w:pPr>
      <w:r>
        <w:rPr>
          <w:b/>
          <w:bCs/>
        </w:rPr>
        <w:t xml:space="preserve">Estimated cost:</w:t>
      </w:r>
      <w:r>
        <w:t xml:space="preserve"> </w:t>
      </w:r>
      <w:r>
        <w:t xml:space="preserve">£500,000–1,000,000 per annum (co-funded).</w:t>
      </w:r>
      <w:r>
        <w:t xml:space="preserve"> </w:t>
      </w:r>
      <w:r>
        <w:rPr>
          <w:b/>
          <w:bCs/>
        </w:rPr>
        <w:t xml:space="preserve">Timeframe:</w:t>
      </w:r>
      <w:r>
        <w:t xml:space="preserve"> </w:t>
      </w:r>
      <w:r>
        <w:t xml:space="preserve">First round within 12 months.</w:t>
      </w:r>
    </w:p>
    <w:p>
      <w:pPr>
        <w:pStyle w:val="BodyText"/>
      </w:pPr>
      <w:r>
        <w:rPr>
          <w:b/>
          <w:bCs/>
        </w:rPr>
        <w:t xml:space="preserve">Recommendation 4.2 — AI Procurement Readiness Toolkit</w:t>
      </w:r>
    </w:p>
    <w:p>
      <w:pPr>
        <w:pStyle w:val="BodyText"/>
      </w:pPr>
      <w:r>
        <w:t xml:space="preserve">Practical guidance for public sector procurement professionals and SME suppliers on AI procurement: specifying AI requirements, evaluating solutions, contract structures, ethics/assurance, and SME-friendly approaches.</w:t>
      </w:r>
    </w:p>
    <w:p>
      <w:pPr>
        <w:pStyle w:val="BodyText"/>
      </w:pPr>
      <w:r>
        <w:rPr>
          <w:b/>
          <w:bCs/>
        </w:rPr>
        <w:t xml:space="preserve">Estimated cost:</w:t>
      </w:r>
      <w:r>
        <w:t xml:space="preserve"> </w:t>
      </w:r>
      <w:r>
        <w:t xml:space="preserve">£30,000–50,000 (one-off).</w:t>
      </w:r>
      <w:r>
        <w:t xml:space="preserve"> </w:t>
      </w:r>
      <w:r>
        <w:rPr>
          <w:b/>
          <w:bCs/>
        </w:rPr>
        <w:t xml:space="preserve">Timeframe:</w:t>
      </w:r>
      <w:r>
        <w:t xml:space="preserve"> </w:t>
      </w:r>
      <w:r>
        <w:t xml:space="preserve">Published within 9 months.</w:t>
      </w:r>
    </w:p>
    <w:bookmarkEnd w:id="61"/>
    <w:bookmarkStart w:id="62" w:name="pillar-5-regulatory-navigation"/>
    <w:p>
      <w:pPr>
        <w:pStyle w:val="Heading3"/>
      </w:pPr>
      <w:r>
        <w:t xml:space="preserve">PILLAR 5: Regulatory Navigation</w:t>
      </w:r>
    </w:p>
    <w:p>
      <w:pPr>
        <w:pStyle w:val="FirstParagraph"/>
      </w:pPr>
      <w:r>
        <w:rPr>
          <w:b/>
          <w:bCs/>
        </w:rPr>
        <w:t xml:space="preserve">Recommendation 5.1 — Cross-Border AI Regulatory Guidance Service</w:t>
      </w:r>
    </w:p>
    <w:p>
      <w:pPr>
        <w:pStyle w:val="BodyText"/>
      </w:pPr>
      <w:r>
        <w:t xml:space="preserve">A dedicated advisory service helping SMEs navigate the dual UK/EU AI regulatory environment: plain-language guides, self-assessment tools, sector-specific compliance checklists, and access to specialist regulatory advisors.</w:t>
      </w:r>
    </w:p>
    <w:p>
      <w:pPr>
        <w:pStyle w:val="BodyText"/>
      </w:pPr>
      <w:r>
        <w:rPr>
          <w:b/>
          <w:bCs/>
        </w:rPr>
        <w:t xml:space="preserve">InterTradeIreland's unique role:</w:t>
      </w:r>
      <w:r>
        <w:t xml:space="preserve"> </w:t>
      </w:r>
      <w:r>
        <w:t xml:space="preserve">Mirrors existing role in Brexit/trade guidance; only body positioned for authoritative cross-border regulatory guidance.</w:t>
      </w:r>
    </w:p>
    <w:p>
      <w:pPr>
        <w:pStyle w:val="BodyText"/>
      </w:pPr>
      <w:r>
        <w:rPr>
          <w:b/>
          <w:bCs/>
        </w:rPr>
        <w:t xml:space="preserve">Estimated cost:</w:t>
      </w:r>
      <w:r>
        <w:t xml:space="preserve"> </w:t>
      </w:r>
      <w:r>
        <w:t xml:space="preserve">£40,000–60,000 per annum.</w:t>
      </w:r>
      <w:r>
        <w:t xml:space="preserve"> </w:t>
      </w:r>
      <w:r>
        <w:rPr>
          <w:b/>
          <w:bCs/>
        </w:rPr>
        <w:t xml:space="preserve">Timeframe:</w:t>
      </w:r>
      <w:r>
        <w:t xml:space="preserve"> </w:t>
      </w:r>
      <w:r>
        <w:t xml:space="preserve">Basic resource within 6 months; full service within 12 months.</w:t>
      </w:r>
    </w:p>
    <w:bookmarkEnd w:id="62"/>
    <w:bookmarkStart w:id="63" w:name="recommendation-prioritisation-matrix"/>
    <w:p>
      <w:pPr>
        <w:pStyle w:val="Heading3"/>
      </w:pPr>
      <w:r>
        <w:t xml:space="preserve">Recommendation Prioritisation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Recommendation</w:t>
            </w:r>
          </w:p>
        </w:tc>
        <w:tc>
          <w:tcPr/>
          <w:p>
            <w:pPr>
              <w:pStyle w:val="Compact"/>
            </w:pPr>
            <w:r>
              <w:t xml:space="preserve">Impact</w:t>
            </w:r>
          </w:p>
        </w:tc>
        <w:tc>
          <w:tcPr/>
          <w:p>
            <w:pPr>
              <w:pStyle w:val="Compact"/>
            </w:pPr>
            <w:r>
              <w:t xml:space="preserve">Feasibility</w:t>
            </w:r>
          </w:p>
        </w:tc>
        <w:tc>
          <w:tcPr/>
          <w:p>
            <w:pPr>
              <w:pStyle w:val="Compact"/>
            </w:pPr>
            <w:r>
              <w:t xml:space="preserve">Timeframe</w:t>
            </w:r>
          </w:p>
        </w:tc>
        <w:tc>
          <w:tcPr/>
          <w:p>
            <w:pPr>
              <w:pStyle w:val="Compact"/>
            </w:pPr>
            <w:r>
              <w:t xml:space="preserve">ITI Role</w:t>
            </w:r>
          </w:p>
        </w:tc>
      </w:tr>
      <w:tr>
        <w:tc>
          <w:tcPr/>
          <w:p>
            <w:pPr>
              <w:pStyle w:val="Compact"/>
            </w:pPr>
            <w:r>
              <w:t xml:space="preserve">1.1 AI Observatory</w:t>
            </w:r>
          </w:p>
        </w:tc>
        <w:tc>
          <w:tcPr/>
          <w:p>
            <w:pPr>
              <w:pStyle w:val="Compact"/>
            </w:pPr>
            <w:r>
              <w:t xml:space="preserve">High</w:t>
            </w:r>
          </w:p>
        </w:tc>
        <w:tc>
          <w:tcPr/>
          <w:p>
            <w:pPr>
              <w:pStyle w:val="Compact"/>
            </w:pPr>
            <w:r>
              <w:t xml:space="preserve">High</w:t>
            </w:r>
          </w:p>
        </w:tc>
        <w:tc>
          <w:tcPr/>
          <w:p>
            <w:pPr>
              <w:pStyle w:val="Compact"/>
            </w:pPr>
            <w:r>
              <w:t xml:space="preserve">Quick win</w:t>
            </w:r>
          </w:p>
        </w:tc>
        <w:tc>
          <w:tcPr/>
          <w:p>
            <w:pPr>
              <w:pStyle w:val="Compact"/>
            </w:pPr>
            <w:r>
              <w:t xml:space="preserve">Direct delivery</w:t>
            </w:r>
          </w:p>
        </w:tc>
      </w:tr>
      <w:tr>
        <w:tc>
          <w:tcPr/>
          <w:p>
            <w:pPr>
              <w:pStyle w:val="Compact"/>
            </w:pPr>
            <w:r>
              <w:t xml:space="preserve">1.2 Policy Forum</w:t>
            </w:r>
          </w:p>
        </w:tc>
        <w:tc>
          <w:tcPr/>
          <w:p>
            <w:pPr>
              <w:pStyle w:val="Compact"/>
            </w:pPr>
            <w:r>
              <w:t xml:space="preserve">Medium</w:t>
            </w:r>
          </w:p>
        </w:tc>
        <w:tc>
          <w:tcPr/>
          <w:p>
            <w:pPr>
              <w:pStyle w:val="Compact"/>
            </w:pPr>
            <w:r>
              <w:t xml:space="preserve">High</w:t>
            </w:r>
          </w:p>
        </w:tc>
        <w:tc>
          <w:tcPr/>
          <w:p>
            <w:pPr>
              <w:pStyle w:val="Compact"/>
            </w:pPr>
            <w:r>
              <w:t xml:space="preserve">Quick win</w:t>
            </w:r>
          </w:p>
        </w:tc>
        <w:tc>
          <w:tcPr/>
          <w:p>
            <w:pPr>
              <w:pStyle w:val="Compact"/>
            </w:pPr>
            <w:r>
              <w:t xml:space="preserve">Convener</w:t>
            </w:r>
          </w:p>
        </w:tc>
      </w:tr>
      <w:tr>
        <w:tc>
          <w:tcPr/>
          <w:p>
            <w:pPr>
              <w:pStyle w:val="Compact"/>
            </w:pPr>
            <w:r>
              <w:t xml:space="preserve">2.1 AI Readiness Programme</w:t>
            </w:r>
          </w:p>
        </w:tc>
        <w:tc>
          <w:tcPr/>
          <w:p>
            <w:pPr>
              <w:pStyle w:val="Compact"/>
            </w:pPr>
            <w:r>
              <w:t xml:space="preserve">Very High</w:t>
            </w:r>
          </w:p>
        </w:tc>
        <w:tc>
          <w:tcPr/>
          <w:p>
            <w:pPr>
              <w:pStyle w:val="Compact"/>
            </w:pPr>
            <w:r>
              <w:t xml:space="preserve">Medium</w:t>
            </w:r>
          </w:p>
        </w:tc>
        <w:tc>
          <w:tcPr/>
          <w:p>
            <w:pPr>
              <w:pStyle w:val="Compact"/>
            </w:pPr>
            <w:r>
              <w:t xml:space="preserve">Medium-term</w:t>
            </w:r>
          </w:p>
        </w:tc>
        <w:tc>
          <w:tcPr/>
          <w:p>
            <w:pPr>
              <w:pStyle w:val="Compact"/>
            </w:pPr>
            <w:r>
              <w:t xml:space="preserve">Programme design &amp; delivery</w:t>
            </w:r>
          </w:p>
        </w:tc>
      </w:tr>
      <w:tr>
        <w:tc>
          <w:tcPr/>
          <w:p>
            <w:pPr>
              <w:pStyle w:val="Compact"/>
            </w:pPr>
            <w:r>
              <w:t xml:space="preserve">2.2 Peer Learning Network</w:t>
            </w:r>
          </w:p>
        </w:tc>
        <w:tc>
          <w:tcPr/>
          <w:p>
            <w:pPr>
              <w:pStyle w:val="Compact"/>
            </w:pPr>
            <w:r>
              <w:t xml:space="preserve">Medium</w:t>
            </w:r>
          </w:p>
        </w:tc>
        <w:tc>
          <w:tcPr/>
          <w:p>
            <w:pPr>
              <w:pStyle w:val="Compact"/>
            </w:pPr>
            <w:r>
              <w:t xml:space="preserve">High</w:t>
            </w:r>
          </w:p>
        </w:tc>
        <w:tc>
          <w:tcPr/>
          <w:p>
            <w:pPr>
              <w:pStyle w:val="Compact"/>
            </w:pPr>
            <w:r>
              <w:t xml:space="preserve">Quick win</w:t>
            </w:r>
          </w:p>
        </w:tc>
        <w:tc>
          <w:tcPr/>
          <w:p>
            <w:pPr>
              <w:pStyle w:val="Compact"/>
            </w:pPr>
            <w:r>
              <w:t xml:space="preserve">Network facilitator</w:t>
            </w:r>
          </w:p>
        </w:tc>
      </w:tr>
      <w:tr>
        <w:tc>
          <w:tcPr/>
          <w:p>
            <w:pPr>
              <w:pStyle w:val="Compact"/>
            </w:pPr>
            <w:r>
              <w:t xml:space="preserve">2.3 AI Voucher Scheme</w:t>
            </w:r>
          </w:p>
        </w:tc>
        <w:tc>
          <w:tcPr/>
          <w:p>
            <w:pPr>
              <w:pStyle w:val="Compact"/>
            </w:pPr>
            <w:r>
              <w:t xml:space="preserve">High</w:t>
            </w:r>
          </w:p>
        </w:tc>
        <w:tc>
          <w:tcPr/>
          <w:p>
            <w:pPr>
              <w:pStyle w:val="Compact"/>
            </w:pPr>
            <w:r>
              <w:t xml:space="preserve">Medium</w:t>
            </w:r>
          </w:p>
        </w:tc>
        <w:tc>
          <w:tcPr/>
          <w:p>
            <w:pPr>
              <w:pStyle w:val="Compact"/>
            </w:pPr>
            <w:r>
              <w:t xml:space="preserve">Medium-term</w:t>
            </w:r>
          </w:p>
        </w:tc>
        <w:tc>
          <w:tcPr/>
          <w:p>
            <w:pPr>
              <w:pStyle w:val="Compact"/>
            </w:pPr>
            <w:r>
              <w:t xml:space="preserve">Programme delivery</w:t>
            </w:r>
          </w:p>
        </w:tc>
      </w:tr>
      <w:tr>
        <w:tc>
          <w:tcPr/>
          <w:p>
            <w:pPr>
              <w:pStyle w:val="Compact"/>
            </w:pPr>
            <w:r>
              <w:t xml:space="preserve">3.1 AI Leadership Programme</w:t>
            </w:r>
          </w:p>
        </w:tc>
        <w:tc>
          <w:tcPr/>
          <w:p>
            <w:pPr>
              <w:pStyle w:val="Compact"/>
            </w:pPr>
            <w:r>
              <w:t xml:space="preserve">High</w:t>
            </w:r>
          </w:p>
        </w:tc>
        <w:tc>
          <w:tcPr/>
          <w:p>
            <w:pPr>
              <w:pStyle w:val="Compact"/>
            </w:pPr>
            <w:r>
              <w:t xml:space="preserve">High</w:t>
            </w:r>
          </w:p>
        </w:tc>
        <w:tc>
          <w:tcPr/>
          <w:p>
            <w:pPr>
              <w:pStyle w:val="Compact"/>
            </w:pPr>
            <w:r>
              <w:t xml:space="preserve">Quick win</w:t>
            </w:r>
          </w:p>
        </w:tc>
        <w:tc>
          <w:tcPr/>
          <w:p>
            <w:pPr>
              <w:pStyle w:val="Compact"/>
            </w:pPr>
            <w:r>
              <w:t xml:space="preserve">Programme design &amp; delivery</w:t>
            </w:r>
          </w:p>
        </w:tc>
      </w:tr>
      <w:tr>
        <w:tc>
          <w:tcPr/>
          <w:p>
            <w:pPr>
              <w:pStyle w:val="Compact"/>
            </w:pPr>
            <w:r>
              <w:t xml:space="preserve">3.2 Talent Pipeline</w:t>
            </w:r>
          </w:p>
        </w:tc>
        <w:tc>
          <w:tcPr/>
          <w:p>
            <w:pPr>
              <w:pStyle w:val="Compact"/>
            </w:pPr>
            <w:r>
              <w:t xml:space="preserve">Medium</w:t>
            </w:r>
          </w:p>
        </w:tc>
        <w:tc>
          <w:tcPr/>
          <w:p>
            <w:pPr>
              <w:pStyle w:val="Compact"/>
            </w:pPr>
            <w:r>
              <w:t xml:space="preserve">Medium</w:t>
            </w:r>
          </w:p>
        </w:tc>
        <w:tc>
          <w:tcPr/>
          <w:p>
            <w:pPr>
              <w:pStyle w:val="Compact"/>
            </w:pPr>
            <w:r>
              <w:t xml:space="preserve">Medium-term</w:t>
            </w:r>
          </w:p>
        </w:tc>
        <w:tc>
          <w:tcPr/>
          <w:p>
            <w:pPr>
              <w:pStyle w:val="Compact"/>
            </w:pPr>
            <w:r>
              <w:t xml:space="preserve">Partnership broker</w:t>
            </w:r>
          </w:p>
        </w:tc>
      </w:tr>
      <w:tr>
        <w:tc>
          <w:tcPr/>
          <w:p>
            <w:pPr>
              <w:pStyle w:val="Compact"/>
            </w:pPr>
            <w:r>
              <w:t xml:space="preserve">4.1 Innovation Challenges</w:t>
            </w:r>
          </w:p>
        </w:tc>
        <w:tc>
          <w:tcPr/>
          <w:p>
            <w:pPr>
              <w:pStyle w:val="Compact"/>
            </w:pPr>
            <w:r>
              <w:t xml:space="preserve">Very High</w:t>
            </w:r>
          </w:p>
        </w:tc>
        <w:tc>
          <w:tcPr/>
          <w:p>
            <w:pPr>
              <w:pStyle w:val="Compact"/>
            </w:pPr>
            <w:r>
              <w:t xml:space="preserve">Medium</w:t>
            </w:r>
          </w:p>
        </w:tc>
        <w:tc>
          <w:tcPr/>
          <w:p>
            <w:pPr>
              <w:pStyle w:val="Compact"/>
            </w:pPr>
            <w:r>
              <w:t xml:space="preserve">Medium-term</w:t>
            </w:r>
          </w:p>
        </w:tc>
        <w:tc>
          <w:tcPr/>
          <w:p>
            <w:pPr>
              <w:pStyle w:val="Compact"/>
            </w:pPr>
            <w:r>
              <w:t xml:space="preserve">Cross-border coordinator</w:t>
            </w:r>
          </w:p>
        </w:tc>
      </w:tr>
      <w:tr>
        <w:tc>
          <w:tcPr/>
          <w:p>
            <w:pPr>
              <w:pStyle w:val="Compact"/>
            </w:pPr>
            <w:r>
              <w:t xml:space="preserve">4.2 Procurement Toolkit</w:t>
            </w:r>
          </w:p>
        </w:tc>
        <w:tc>
          <w:tcPr/>
          <w:p>
            <w:pPr>
              <w:pStyle w:val="Compact"/>
            </w:pPr>
            <w:r>
              <w:t xml:space="preserve">Medium</w:t>
            </w:r>
          </w:p>
        </w:tc>
        <w:tc>
          <w:tcPr/>
          <w:p>
            <w:pPr>
              <w:pStyle w:val="Compact"/>
            </w:pPr>
            <w:r>
              <w:t xml:space="preserve">High</w:t>
            </w:r>
          </w:p>
        </w:tc>
        <w:tc>
          <w:tcPr/>
          <w:p>
            <w:pPr>
              <w:pStyle w:val="Compact"/>
            </w:pPr>
            <w:r>
              <w:t xml:space="preserve">Quick win</w:t>
            </w:r>
          </w:p>
        </w:tc>
        <w:tc>
          <w:tcPr/>
          <w:p>
            <w:pPr>
              <w:pStyle w:val="Compact"/>
            </w:pPr>
            <w:r>
              <w:t xml:space="preserve">Publisher &amp; trainer</w:t>
            </w:r>
          </w:p>
        </w:tc>
      </w:tr>
      <w:tr>
        <w:tc>
          <w:tcPr/>
          <w:p>
            <w:pPr>
              <w:pStyle w:val="Compact"/>
            </w:pPr>
            <w:r>
              <w:t xml:space="preserve">5.1 Regulatory Guidance</w:t>
            </w:r>
          </w:p>
        </w:tc>
        <w:tc>
          <w:tcPr/>
          <w:p>
            <w:pPr>
              <w:pStyle w:val="Compact"/>
            </w:pPr>
            <w:r>
              <w:t xml:space="preserve">High</w:t>
            </w:r>
          </w:p>
        </w:tc>
        <w:tc>
          <w:tcPr/>
          <w:p>
            <w:pPr>
              <w:pStyle w:val="Compact"/>
            </w:pPr>
            <w:r>
              <w:t xml:space="preserve">High</w:t>
            </w:r>
          </w:p>
        </w:tc>
        <w:tc>
          <w:tcPr/>
          <w:p>
            <w:pPr>
              <w:pStyle w:val="Compact"/>
            </w:pPr>
            <w:r>
              <w:t xml:space="preserve">Quick win</w:t>
            </w:r>
          </w:p>
        </w:tc>
        <w:tc>
          <w:tcPr/>
          <w:p>
            <w:pPr>
              <w:pStyle w:val="Compact"/>
            </w:pPr>
            <w:r>
              <w:t xml:space="preserve">Direct delivery</w:t>
            </w:r>
          </w:p>
        </w:tc>
      </w:tr>
    </w:tbl>
    <w:bookmarkEnd w:id="63"/>
    <w:bookmarkStart w:id="64" w:name="strategic-alignment"/>
    <w:p>
      <w:pPr>
        <w:pStyle w:val="Heading3"/>
      </w:pPr>
      <w:r>
        <w:t xml:space="preserve">Strategic Alignment</w:t>
      </w:r>
    </w:p>
    <w:p>
      <w:pPr>
        <w:pStyle w:val="FirstParagraph"/>
      </w:pPr>
      <w:r>
        <w:t xml:space="preserve">Each recommendation maps to: InterTradeIreland Corporate Plan 2023–25 (cross-border collaboration, innovation, SME competitiveness, evidence-based policy); NI Programme for Government / 10X Economy (productivity, innovation, skills, digital economy); Ireland's Programme for Government (enterprise competitiveness, digital transition, regional development); AI for NI Strategic Overview (skills, adoption, ecosystem development); and Ireland's AI: Here for Good (responsible adoption, SME inclusion, skills development).</w:t>
      </w:r>
    </w:p>
    <w:bookmarkEnd w:id="64"/>
    <w:bookmarkStart w:id="65" w:name="key-differentiator-4"/>
    <w:p>
      <w:pPr>
        <w:pStyle w:val="Heading3"/>
      </w:pPr>
      <w:r>
        <w:t xml:space="preserve">Key Differentiator</w:t>
      </w:r>
    </w:p>
    <w:p>
      <w:pPr>
        <w:pStyle w:val="FirstParagraph"/>
      </w:pPr>
      <w:r>
        <w:t xml:space="preserve">These recommendations are not theoretical — they are designed by a practitioner who works with SMEs on AI adoption daily. Each recommendation addresses a real gap observed in our work. They are specific enough to be budgeted, planned, and implemented, and they leverage InterTradeIreland's unique cross-border mandate rather than duplicating what either jurisdiction can do alone.</w:t>
      </w:r>
    </w:p>
    <w:bookmarkEnd w:id="65"/>
    <w:bookmarkStart w:id="66" w:name="deliverable-4"/>
    <w:p>
      <w:pPr>
        <w:pStyle w:val="Heading3"/>
      </w:pPr>
      <w:r>
        <w:t xml:space="preserve">Deliverable</w:t>
      </w:r>
    </w:p>
    <w:p>
      <w:pPr>
        <w:pStyle w:val="FirstParagraph"/>
      </w:pPr>
      <w:r>
        <w:t xml:space="preserve">A comprehensive Recommendations chapter forming Part 5 of the final report, including all recommendations structured by pillar, with implementation detail, cost estimates, alignment mapping, and prioritisation matrix. Supported by a standalone Executive Summary of Recommendations suitable for presentation to InterTradeIreland's Board and Senior Leadership Team.</w:t>
      </w:r>
    </w:p>
    <w:bookmarkEnd w:id="66"/>
    <w:bookmarkEnd w:id="67"/>
    <w:bookmarkStart w:id="77" w:name="Xde18854eebeb007aae6013f4355dac25d0b5d30"/>
    <w:p>
      <w:pPr>
        <w:pStyle w:val="Heading2"/>
      </w:pPr>
      <w:r>
        <w:t xml:space="preserve">8. AC-6: Team Capability and Relevant Experience (10%)</w:t>
      </w:r>
    </w:p>
    <w:p>
      <w:pPr>
        <w:pStyle w:val="FirstParagraph"/>
      </w:pPr>
      <w:r>
        <w:t xml:space="preserve">Format per Appendix A — maximum 2 × A4 pages per team member</w:t>
      </w:r>
    </w:p>
    <w:bookmarkStart w:id="71" w:name="Xfb43918602e75be5a5f078750cd831550df3a8e"/>
    <w:p>
      <w:pPr>
        <w:pStyle w:val="Heading3"/>
      </w:pPr>
      <w:r>
        <w:t xml:space="preserve">Team Member 1: Phil Patterson — Project Manager / AI &amp; Digital Adoption Specialist / Stakeholder Engagement Lead</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Name</w:t>
            </w:r>
          </w:p>
        </w:tc>
        <w:tc>
          <w:tcPr/>
          <w:p>
            <w:pPr>
              <w:pStyle w:val="Compact"/>
            </w:pPr>
            <w:r>
              <w:t xml:space="preserve">Phil Patterson</w:t>
            </w:r>
          </w:p>
        </w:tc>
      </w:tr>
      <w:tr>
        <w:tc>
          <w:tcPr/>
          <w:p>
            <w:pPr>
              <w:pStyle w:val="Compact"/>
            </w:pPr>
            <w:r>
              <w:rPr>
                <w:b/>
                <w:bCs/>
              </w:rPr>
              <w:t xml:space="preserve">Position</w:t>
            </w:r>
          </w:p>
        </w:tc>
        <w:tc>
          <w:tcPr/>
          <w:p>
            <w:pPr>
              <w:pStyle w:val="Compact"/>
            </w:pPr>
            <w:r>
              <w:t xml:space="preserve">Founder &amp; Principal Consultant, Blue Canvas AI</w:t>
            </w:r>
          </w:p>
        </w:tc>
      </w:tr>
      <w:tr>
        <w:tc>
          <w:tcPr/>
          <w:p>
            <w:pPr>
              <w:pStyle w:val="Compact"/>
            </w:pPr>
            <w:r>
              <w:rPr>
                <w:b/>
                <w:bCs/>
              </w:rPr>
              <w:t xml:space="preserve">Role in Proposed Team</w:t>
            </w:r>
          </w:p>
        </w:tc>
        <w:tc>
          <w:tcPr/>
          <w:p>
            <w:pPr>
              <w:pStyle w:val="Compact"/>
            </w:pPr>
            <w:r>
              <w:t xml:space="preserve">Project Manager; AI/Digital Adoption Specialist; Stakeholder Engagement Lead</w:t>
            </w:r>
          </w:p>
        </w:tc>
      </w:tr>
    </w:tbl>
    <w:bookmarkStart w:id="68" w:name="specific-experience"/>
    <w:p>
      <w:pPr>
        <w:pStyle w:val="Heading4"/>
      </w:pPr>
      <w:r>
        <w:t xml:space="preserve">Specific Experience</w:t>
      </w:r>
    </w:p>
    <w:p>
      <w:pPr>
        <w:pStyle w:val="FirstParagraph"/>
      </w:pPr>
      <w:r>
        <w:t xml:space="preserve">Phil Patterson is the founder of Blue Canvas AI, an AI consultancy based in Derry, Northern Ireland, specialising in helping SMEs integrate artificial intelligence into their operations. With a background as Commercial Director at Tonomy (a blockchain and AI technology company), Phil brings direct experience in cross-border business development, technology commercialisation, and SME engagement across both jurisdictions.</w:t>
      </w:r>
    </w:p>
    <w:p>
      <w:pPr>
        <w:pStyle w:val="BodyText"/>
      </w:pPr>
      <w:r>
        <w:t xml:space="preserve">Phil's daily work involves assessing SME digital readiness, identifying practical AI applications, implementing AI tools (including content automation, chatbot deployment, workflow automation, and AI-assisted business processes), and delivering AI training programmes. This practitioner experience provides an evidence base that academic researchers typically lack — direct, current knowledge of what SMEs actually experience when adopting AI.</w:t>
      </w:r>
    </w:p>
    <w:p>
      <w:pPr>
        <w:pStyle w:val="BodyText"/>
      </w:pPr>
      <w:r>
        <w:t xml:space="preserve">Based in Derry, Phil is uniquely positioned on the border between both jurisdictions, with established professional networks spanning Northern Ireland and Ireland, including connections with the AI Collaboration Centre (AICC), SyncNI, local enterprise networks, and the wider NI business media ecosystem.</w:t>
      </w:r>
    </w:p>
    <w:p>
      <w:pPr>
        <w:pStyle w:val="BodyText"/>
      </w:pPr>
      <w:r>
        <w:rPr>
          <w:b/>
          <w:bCs/>
        </w:rPr>
        <w:t xml:space="preserve">Key competencies relevant to this contract:</w:t>
      </w:r>
    </w:p>
    <w:p>
      <w:pPr>
        <w:pStyle w:val="Compact"/>
        <w:numPr>
          <w:ilvl w:val="0"/>
          <w:numId w:val="1023"/>
        </w:numPr>
      </w:pPr>
      <w:r>
        <w:t xml:space="preserve">AI strategy and implementation for SMEs across multiple sectors</w:t>
      </w:r>
    </w:p>
    <w:p>
      <w:pPr>
        <w:pStyle w:val="Compact"/>
        <w:numPr>
          <w:ilvl w:val="0"/>
          <w:numId w:val="1023"/>
        </w:numPr>
      </w:pPr>
      <w:r>
        <w:t xml:space="preserve">Cross-border business development and stakeholder engagement</w:t>
      </w:r>
    </w:p>
    <w:p>
      <w:pPr>
        <w:pStyle w:val="Compact"/>
        <w:numPr>
          <w:ilvl w:val="0"/>
          <w:numId w:val="1023"/>
        </w:numPr>
      </w:pPr>
      <w:r>
        <w:t xml:space="preserve">Technology commercialisation and digital transformation advisory</w:t>
      </w:r>
    </w:p>
    <w:p>
      <w:pPr>
        <w:pStyle w:val="Compact"/>
        <w:numPr>
          <w:ilvl w:val="0"/>
          <w:numId w:val="1023"/>
        </w:numPr>
      </w:pPr>
      <w:r>
        <w:t xml:space="preserve">Project management of multi-stakeholder initiatives</w:t>
      </w:r>
    </w:p>
    <w:p>
      <w:pPr>
        <w:pStyle w:val="Compact"/>
        <w:numPr>
          <w:ilvl w:val="0"/>
          <w:numId w:val="1023"/>
        </w:numPr>
      </w:pPr>
      <w:r>
        <w:t xml:space="preserve">Understanding of both UK and EU regulatory environments</w:t>
      </w:r>
    </w:p>
    <w:bookmarkEnd w:id="68"/>
    <w:bookmarkStart w:id="69" w:name="Xbe271584b012d8d031976805b1fc01b544faacf"/>
    <w:p>
      <w:pPr>
        <w:pStyle w:val="Heading4"/>
      </w:pPr>
      <w:r>
        <w:t xml:space="preserve">Example 1: AI Integration Consulting and Training Programme</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Client</w:t>
            </w:r>
          </w:p>
        </w:tc>
        <w:tc>
          <w:tcPr/>
          <w:p>
            <w:pPr>
              <w:pStyle w:val="Compact"/>
            </w:pPr>
            <w:r>
              <w:t xml:space="preserve">Multiple SMEs across Northern Ireland (commercial confidentiality maintained)</w:t>
            </w:r>
          </w:p>
        </w:tc>
      </w:tr>
      <w:tr>
        <w:tc>
          <w:tcPr/>
          <w:p>
            <w:pPr>
              <w:pStyle w:val="Compact"/>
            </w:pPr>
            <w:r>
              <w:rPr>
                <w:b/>
                <w:bCs/>
              </w:rPr>
              <w:t xml:space="preserve">Date</w:t>
            </w:r>
          </w:p>
        </w:tc>
        <w:tc>
          <w:tcPr/>
          <w:p>
            <w:pPr>
              <w:pStyle w:val="Compact"/>
            </w:pPr>
            <w:r>
              <w:t xml:space="preserve">Ongoing (March 2025 – present)</w:t>
            </w:r>
          </w:p>
        </w:tc>
      </w:tr>
    </w:tbl>
    <w:p>
      <w:pPr>
        <w:pStyle w:val="BodyText"/>
      </w:pPr>
      <w:r>
        <w:t xml:space="preserve">Since founding Blue Canvas AI, Phil has delivered AI consulting and training to SMEs across Northern Ireland, covering sectors including professional services, retail, creative industries, and construction. Engagements have included: assessing current digital maturity; identifying specific AI applications yielding measurable productivity gains; implementing AI tools (content automation platforms, customer service chatbots, automated reporting systems); and delivering hands-on AI training for SME teams.</w:t>
      </w:r>
    </w:p>
    <w:p>
      <w:pPr>
        <w:pStyle w:val="BodyText"/>
      </w:pPr>
      <w:r>
        <w:rPr>
          <w:b/>
          <w:bCs/>
        </w:rPr>
        <w:t xml:space="preserve">Methodologies:</w:t>
      </w:r>
      <w:r>
        <w:t xml:space="preserve"> </w:t>
      </w:r>
      <w:r>
        <w:t xml:space="preserve">Digital maturity assessment frameworks; needs analysis interviews; implementation roadmapping; hands-on tool deployment; post-implementation impact measurement; training needs analysis and programme delivery.</w:t>
      </w:r>
    </w:p>
    <w:bookmarkEnd w:id="69"/>
    <w:bookmarkStart w:id="70" w:name="X257981d0a8a6905e28668065968f1ee515850fa"/>
    <w:p>
      <w:pPr>
        <w:pStyle w:val="Heading4"/>
      </w:pPr>
      <w:r>
        <w:t xml:space="preserve">Example 2: Cross-Border Technology Business Development</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Client</w:t>
            </w:r>
          </w:p>
        </w:tc>
        <w:tc>
          <w:tcPr/>
          <w:p>
            <w:pPr>
              <w:pStyle w:val="Compact"/>
            </w:pPr>
            <w:r>
              <w:t xml:space="preserve">Tonomy</w:t>
            </w:r>
          </w:p>
        </w:tc>
      </w:tr>
      <w:tr>
        <w:tc>
          <w:tcPr/>
          <w:p>
            <w:pPr>
              <w:pStyle w:val="Compact"/>
            </w:pPr>
            <w:r>
              <w:rPr>
                <w:b/>
                <w:bCs/>
              </w:rPr>
              <w:t xml:space="preserve">Role</w:t>
            </w:r>
          </w:p>
        </w:tc>
        <w:tc>
          <w:tcPr/>
          <w:p>
            <w:pPr>
              <w:pStyle w:val="Compact"/>
            </w:pPr>
            <w:r>
              <w:t xml:space="preserve">Commercial Director</w:t>
            </w:r>
          </w:p>
        </w:tc>
      </w:tr>
    </w:tbl>
    <w:p>
      <w:pPr>
        <w:pStyle w:val="BodyText"/>
      </w:pPr>
      <w:r>
        <w:t xml:space="preserve">As Commercial Director at Tonomy, a blockchain and AI technology company, Phil led business development activities across multiple jurisdictions, including cross-border engagement between Northern Ireland, Ireland, and wider UK/EU markets. This role involved technology product positioning, stakeholder engagement with enterprise agencies and government bodies, market analysis, and strategic partnership development.</w:t>
      </w:r>
    </w:p>
    <w:p>
      <w:pPr>
        <w:pStyle w:val="BodyText"/>
      </w:pPr>
      <w:r>
        <w:rPr>
          <w:b/>
          <w:bCs/>
        </w:rPr>
        <w:t xml:space="preserve">Methodologies:</w:t>
      </w:r>
      <w:r>
        <w:t xml:space="preserve"> </w:t>
      </w:r>
      <w:r>
        <w:t xml:space="preserve">Market analysis; stakeholder mapping and engagement; competitive landscape assessment; technology adoption analysis; strategic planning and implementation.</w:t>
      </w:r>
    </w:p>
    <w:bookmarkEnd w:id="70"/>
    <w:bookmarkEnd w:id="71"/>
    <w:bookmarkStart w:id="73" w:name="X2c049682541c855fc915734ac9807e856301f8e"/>
    <w:p>
      <w:pPr>
        <w:pStyle w:val="Heading3"/>
      </w:pPr>
      <w:r>
        <w:t xml:space="preserve">Team Member 2: David Anthony — Data &amp; Research Analyst</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Name</w:t>
            </w:r>
          </w:p>
        </w:tc>
        <w:tc>
          <w:tcPr/>
          <w:p>
            <w:pPr>
              <w:pStyle w:val="Compact"/>
            </w:pPr>
            <w:r>
              <w:t xml:space="preserve">David Anthony</w:t>
            </w:r>
          </w:p>
        </w:tc>
      </w:tr>
      <w:tr>
        <w:tc>
          <w:tcPr/>
          <w:p>
            <w:pPr>
              <w:pStyle w:val="Compact"/>
            </w:pPr>
            <w:r>
              <w:rPr>
                <w:b/>
                <w:bCs/>
              </w:rPr>
              <w:t xml:space="preserve">Position</w:t>
            </w:r>
          </w:p>
        </w:tc>
        <w:tc>
          <w:tcPr/>
          <w:p>
            <w:pPr>
              <w:pStyle w:val="Compact"/>
            </w:pPr>
            <w:r>
              <w:t xml:space="preserve">Research Analyst (Subcontractor)</w:t>
            </w:r>
          </w:p>
        </w:tc>
      </w:tr>
      <w:tr>
        <w:tc>
          <w:tcPr/>
          <w:p>
            <w:pPr>
              <w:pStyle w:val="Compact"/>
            </w:pPr>
            <w:r>
              <w:rPr>
                <w:b/>
                <w:bCs/>
              </w:rPr>
              <w:t xml:space="preserve">Role in Proposed Team</w:t>
            </w:r>
          </w:p>
        </w:tc>
        <w:tc>
          <w:tcPr/>
          <w:p>
            <w:pPr>
              <w:pStyle w:val="Compact"/>
            </w:pPr>
            <w:r>
              <w:t xml:space="preserve">Data and Research Analyst</w:t>
            </w:r>
          </w:p>
        </w:tc>
      </w:tr>
    </w:tbl>
    <w:bookmarkStart w:id="72" w:name="specific-experience-1"/>
    <w:p>
      <w:pPr>
        <w:pStyle w:val="Heading4"/>
      </w:pPr>
      <w:r>
        <w:t xml:space="preserve">Specific Experience</w:t>
      </w:r>
    </w:p>
    <w:p>
      <w:pPr>
        <w:pStyle w:val="FirstParagraph"/>
      </w:pPr>
      <w:r>
        <w:t xml:space="preserve">David Anthony is a qualified research analyst with demonstrated experience in quantitative and qualitative research methods, including survey design and administration, statistical analysis, interview and focus group facilitation, and policy-relevant data synthesis.</w:t>
      </w:r>
    </w:p>
    <w:p>
      <w:pPr>
        <w:pStyle w:val="BodyText"/>
      </w:pPr>
      <w:r>
        <w:t xml:space="preserve">Key capabilities include: experience in survey design and deployment (targeting 200+ SME respondents); proficiency in quantitative data analysis (SPSS, R, or equivalent); qualitative research skills (semi-structured interviews, thematic analysis); and experience producing research outputs for public sector and policy audiences.</w:t>
      </w:r>
    </w:p>
    <w:p>
      <w:pPr>
        <w:pStyle w:val="BodyText"/>
      </w:pPr>
      <w:r>
        <w:rPr>
          <w:i/>
          <w:iCs/>
        </w:rPr>
        <w:t xml:space="preserve">Detailed CV and project examples available on request.</w:t>
      </w:r>
    </w:p>
    <w:bookmarkEnd w:id="72"/>
    <w:bookmarkEnd w:id="73"/>
    <w:bookmarkStart w:id="75" w:name="X86c2a196f647fe3a8deca93313eba3d64626bec"/>
    <w:p>
      <w:pPr>
        <w:pStyle w:val="Heading3"/>
      </w:pPr>
      <w:r>
        <w:t xml:space="preserve">Team Member 3: Priyanka Kasture — Report Writer / Communications Specialist</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Name</w:t>
            </w:r>
          </w:p>
        </w:tc>
        <w:tc>
          <w:tcPr/>
          <w:p>
            <w:pPr>
              <w:pStyle w:val="Compact"/>
            </w:pPr>
            <w:r>
              <w:t xml:space="preserve">Priyanka Kasture</w:t>
            </w:r>
          </w:p>
        </w:tc>
      </w:tr>
      <w:tr>
        <w:tc>
          <w:tcPr/>
          <w:p>
            <w:pPr>
              <w:pStyle w:val="Compact"/>
            </w:pPr>
            <w:r>
              <w:rPr>
                <w:b/>
                <w:bCs/>
              </w:rPr>
              <w:t xml:space="preserve">Position</w:t>
            </w:r>
          </w:p>
        </w:tc>
        <w:tc>
          <w:tcPr/>
          <w:p>
            <w:pPr>
              <w:pStyle w:val="Compact"/>
            </w:pPr>
            <w:r>
              <w:t xml:space="preserve">Report Writer and Communications Specialist (Subcontractor)</w:t>
            </w:r>
          </w:p>
        </w:tc>
      </w:tr>
      <w:tr>
        <w:tc>
          <w:tcPr/>
          <w:p>
            <w:pPr>
              <w:pStyle w:val="Compact"/>
            </w:pPr>
            <w:r>
              <w:rPr>
                <w:b/>
                <w:bCs/>
              </w:rPr>
              <w:t xml:space="preserve">Role in Proposed Team</w:t>
            </w:r>
          </w:p>
        </w:tc>
        <w:tc>
          <w:tcPr/>
          <w:p>
            <w:pPr>
              <w:pStyle w:val="Compact"/>
            </w:pPr>
            <w:r>
              <w:t xml:space="preserve">Report Writer / Communications Specialist</w:t>
            </w:r>
          </w:p>
        </w:tc>
      </w:tr>
    </w:tbl>
    <w:bookmarkStart w:id="74" w:name="specific-experience-2"/>
    <w:p>
      <w:pPr>
        <w:pStyle w:val="Heading4"/>
      </w:pPr>
      <w:r>
        <w:t xml:space="preserve">Specific Experience</w:t>
      </w:r>
    </w:p>
    <w:p>
      <w:pPr>
        <w:pStyle w:val="FirstParagraph"/>
      </w:pPr>
      <w:r>
        <w:t xml:space="preserve">Priyanka Kasture is a professional report writer with experience producing clear, accessible, policy-relevant research reports for public sector and agency audiences. Key capabilities include: writing research reports for government departments and enterprise agencies; translating complex technical findings into clear, actionable language for non-specialist audiences; publication-ready document production including data visualisation, executive summaries, and presentation materials; and understanding of the policy communications landscape in Ireland and Northern Ireland.</w:t>
      </w:r>
    </w:p>
    <w:p>
      <w:pPr>
        <w:pStyle w:val="BodyText"/>
      </w:pPr>
      <w:r>
        <w:rPr>
          <w:i/>
          <w:iCs/>
        </w:rPr>
        <w:t xml:space="preserve">Detailed CV and project examples available on request.</w:t>
      </w:r>
    </w:p>
    <w:bookmarkEnd w:id="74"/>
    <w:bookmarkEnd w:id="75"/>
    <w:bookmarkStart w:id="76" w:name="collective-team-capability"/>
    <w:p>
      <w:pPr>
        <w:pStyle w:val="Heading3"/>
      </w:pPr>
      <w:r>
        <w:t xml:space="preserve">Collective Team Capability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How Met</w:t>
            </w:r>
          </w:p>
        </w:tc>
      </w:tr>
      <w:tr>
        <w:tc>
          <w:tcPr/>
          <w:p>
            <w:pPr>
              <w:pStyle w:val="Compact"/>
            </w:pPr>
            <w:r>
              <w:t xml:space="preserve">SME-focused economic or digital/AI adoption research</w:t>
            </w:r>
          </w:p>
        </w:tc>
        <w:tc>
          <w:tcPr/>
          <w:p>
            <w:pPr>
              <w:pStyle w:val="Compact"/>
            </w:pPr>
            <w:r>
              <w:t xml:space="preserve">Phil Patterson — daily AI consulting with SMEs; direct knowledge of adoption patterns, barriers, and outcomes</w:t>
            </w:r>
          </w:p>
        </w:tc>
      </w:tr>
      <w:tr>
        <w:tc>
          <w:tcPr/>
          <w:p>
            <w:pPr>
              <w:pStyle w:val="Compact"/>
            </w:pPr>
            <w:r>
              <w:t xml:space="preserve">Cross-border analysis</w:t>
            </w:r>
          </w:p>
        </w:tc>
        <w:tc>
          <w:tcPr/>
          <w:p>
            <w:pPr>
              <w:pStyle w:val="Compact"/>
            </w:pPr>
            <w:r>
              <w:t xml:space="preserve">Phil Patterson — Derry-based, cross-border professional networks, Tonomy cross-border experience</w:t>
            </w:r>
          </w:p>
        </w:tc>
      </w:tr>
      <w:tr>
        <w:tc>
          <w:tcPr/>
          <w:p>
            <w:pPr>
              <w:pStyle w:val="Compact"/>
            </w:pPr>
            <w:r>
              <w:t xml:space="preserve">Evaluating SME productivity and competitiveness impacts</w:t>
            </w:r>
          </w:p>
        </w:tc>
        <w:tc>
          <w:tcPr/>
          <w:p>
            <w:pPr>
              <w:pStyle w:val="Compact"/>
            </w:pPr>
            <w:r>
              <w:t xml:space="preserve">Phil Patterson — measures AI implementation outcomes for SME clients; David Anthony provides quantitative rigour</w:t>
            </w:r>
          </w:p>
        </w:tc>
      </w:tr>
      <w:tr>
        <w:tc>
          <w:tcPr/>
          <w:p>
            <w:pPr>
              <w:pStyle w:val="Compact"/>
            </w:pPr>
            <w:r>
              <w:t xml:space="preserve">High-quality evidence-based reports</w:t>
            </w:r>
          </w:p>
        </w:tc>
        <w:tc>
          <w:tcPr/>
          <w:p>
            <w:pPr>
              <w:pStyle w:val="Compact"/>
            </w:pPr>
            <w:r>
              <w:t xml:space="preserve">Priyanka Kasture brings policy communications expertise; Phil provides subject matter authority</w:t>
            </w:r>
          </w:p>
        </w:tc>
      </w:tr>
      <w:tr>
        <w:tc>
          <w:tcPr/>
          <w:p>
            <w:pPr>
              <w:pStyle w:val="Compact"/>
            </w:pPr>
            <w:r>
              <w:t xml:space="preserve">Stakeholder engagement across both jurisdictions</w:t>
            </w:r>
          </w:p>
        </w:tc>
        <w:tc>
          <w:tcPr/>
          <w:p>
            <w:pPr>
              <w:pStyle w:val="Compact"/>
            </w:pPr>
            <w:r>
              <w:t xml:space="preserve">Phil Patterson — established networks in NI and Ireland business, policy, and technology ecosystems</w:t>
            </w:r>
          </w:p>
        </w:tc>
      </w:tr>
    </w:tbl>
    <w:p>
      <w:pPr>
        <w:pStyle w:val="BodyText"/>
      </w:pPr>
      <w:r>
        <w:rPr>
          <w:b/>
          <w:bCs/>
        </w:rPr>
        <w:t xml:space="preserve">Why this model works:</w:t>
      </w:r>
      <w:r>
        <w:t xml:space="preserve"> </w:t>
      </w:r>
      <w:r>
        <w:t xml:space="preserve">Every pound of this contract goes into research delivery, not organisational overhead. The lead researcher works with SMEs on AI adoption every day — not a generalist consultant or academic researcher approaching the subject theoretically. The subcontractor model provides specialist skills where needed while ensuring consistent strategic direction and subject-matter expertise throughout.</w:t>
      </w:r>
    </w:p>
    <w:bookmarkEnd w:id="76"/>
    <w:bookmarkEnd w:id="77"/>
    <w:bookmarkStart w:id="84" w:name="ac-7-cost-schedule-30-appendix-d"/>
    <w:p>
      <w:pPr>
        <w:pStyle w:val="Heading2"/>
      </w:pPr>
      <w:r>
        <w:t xml:space="preserve">9. AC-7: Cost Schedule (30%) — Appendix D</w:t>
      </w:r>
    </w:p>
    <w:bookmarkStart w:id="78" w:name="total-assignment-cost"/>
    <w:p>
      <w:pPr>
        <w:pStyle w:val="Heading3"/>
      </w:pPr>
      <w:r>
        <w:t xml:space="preserve">Total Assignment Cost</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Total Assignment Cost (exclusive of VAT)</w:t>
            </w:r>
          </w:p>
        </w:tc>
        <w:tc>
          <w:tcPr/>
          <w:p>
            <w:pPr>
              <w:pStyle w:val="Compact"/>
              <w:jc w:val="right"/>
            </w:pPr>
            <w:r>
              <w:rPr>
                <w:b/>
                <w:bCs/>
              </w:rPr>
              <w:t xml:space="preserve">£72,000</w:t>
            </w:r>
          </w:p>
        </w:tc>
      </w:tr>
    </w:tbl>
    <w:p>
      <w:pPr>
        <w:pStyle w:val="BodyText"/>
      </w:pPr>
      <w:r>
        <w:t xml:space="preserve">All costs stated in £ Sterling, exclusive of VAT. Expenses included in total.</w:t>
      </w:r>
    </w:p>
    <w:bookmarkEnd w:id="78"/>
    <w:bookmarkStart w:id="79" w:name="breakdown-of-costs-and-days"/>
    <w:p>
      <w:pPr>
        <w:pStyle w:val="Heading3"/>
      </w:pPr>
      <w:r>
        <w:t xml:space="preserve">Breakdown of Costs and Days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Programme Activity</w:t>
            </w:r>
          </w:p>
        </w:tc>
        <w:tc>
          <w:tcPr/>
          <w:p>
            <w:pPr>
              <w:pStyle w:val="Compact"/>
            </w:pPr>
            <w:r>
              <w:t xml:space="preserve">Name &amp; Job Title</w:t>
            </w:r>
          </w:p>
        </w:tc>
        <w:tc>
          <w:tcPr/>
          <w:p>
            <w:pPr>
              <w:pStyle w:val="Compact"/>
              <w:jc w:val="right"/>
            </w:pPr>
            <w:r>
              <w:t xml:space="preserve">Daily Rate</w:t>
            </w:r>
          </w:p>
        </w:tc>
        <w:tc>
          <w:tcPr/>
          <w:p>
            <w:pPr>
              <w:pStyle w:val="Compact"/>
              <w:jc w:val="right"/>
            </w:pPr>
            <w:r>
              <w:t xml:space="preserve">Days</w:t>
            </w:r>
          </w:p>
        </w:tc>
        <w:tc>
          <w:tcPr/>
          <w:p>
            <w:pPr>
              <w:pStyle w:val="Compact"/>
              <w:jc w:val="right"/>
            </w:pPr>
            <w:r>
              <w:t xml:space="preserve">Cost (£)</w:t>
            </w:r>
          </w:p>
        </w:tc>
      </w:tr>
      <w:tr>
        <w:tc>
          <w:tcPr>
            <w:gridSpan w:val="5"/>
          </w:tcPr>
          <w:p>
            <w:pPr>
              <w:pStyle w:val="Compact"/>
            </w:pPr>
            <w:r>
              <w:t xml:space="preserve">Phase 1: Landscape Analysis &amp; Literature Review</w:t>
            </w:r>
          </w:p>
        </w:tc>
      </w:tr>
      <w:tr>
        <w:tc>
          <w:tcPr/>
          <w:p>
            <w:pPr>
              <w:pStyle w:val="Compact"/>
            </w:pPr>
            <w:r>
              <w:t xml:space="preserve">Desk research, policy review, landscape mapping</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10</w:t>
            </w:r>
          </w:p>
        </w:tc>
        <w:tc>
          <w:tcPr/>
          <w:p>
            <w:pPr>
              <w:pStyle w:val="Compact"/>
              <w:jc w:val="right"/>
            </w:pPr>
            <w:r>
              <w:t xml:space="preserve">£6,500</w:t>
            </w:r>
          </w:p>
        </w:tc>
      </w:tr>
      <w:tr>
        <w:tc>
          <w:tcPr/>
          <w:p>
            <w:pPr>
              <w:pStyle w:val="Compact"/>
            </w:pPr>
            <w:r>
              <w:t xml:space="preserve">Research support, data gathering</w:t>
            </w:r>
          </w:p>
        </w:tc>
        <w:tc>
          <w:tcPr/>
          <w:p>
            <w:pPr>
              <w:pStyle w:val="Compact"/>
            </w:pPr>
            <w:r>
              <w:t xml:space="preserve">David Anthony, Research Analyst</w:t>
            </w:r>
          </w:p>
        </w:tc>
        <w:tc>
          <w:tcPr/>
          <w:p>
            <w:pPr>
              <w:pStyle w:val="Compact"/>
              <w:jc w:val="right"/>
            </w:pPr>
            <w:r>
              <w:t xml:space="preserve">£450</w:t>
            </w:r>
          </w:p>
        </w:tc>
        <w:tc>
          <w:tcPr/>
          <w:p>
            <w:pPr>
              <w:pStyle w:val="Compact"/>
              <w:jc w:val="right"/>
            </w:pPr>
            <w:r>
              <w:t xml:space="preserve">5</w:t>
            </w:r>
          </w:p>
        </w:tc>
        <w:tc>
          <w:tcPr/>
          <w:p>
            <w:pPr>
              <w:pStyle w:val="Compact"/>
              <w:jc w:val="right"/>
            </w:pPr>
            <w:r>
              <w:t xml:space="preserve">£2,250</w:t>
            </w:r>
          </w:p>
        </w:tc>
      </w:tr>
      <w:tr>
        <w:tc>
          <w:tcPr>
            <w:gridSpan w:val="5"/>
          </w:tcPr>
          <w:p>
            <w:pPr>
              <w:pStyle w:val="Compact"/>
            </w:pPr>
            <w:r>
              <w:t xml:space="preserve">Phase 2: Primary Research Design &amp; Fieldwork</w:t>
            </w:r>
          </w:p>
        </w:tc>
      </w:tr>
      <w:tr>
        <w:tc>
          <w:tcPr/>
          <w:p>
            <w:pPr>
              <w:pStyle w:val="Compact"/>
            </w:pPr>
            <w:r>
              <w:t xml:space="preserve">Survey design and stakeholder mapping</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5</w:t>
            </w:r>
          </w:p>
        </w:tc>
        <w:tc>
          <w:tcPr/>
          <w:p>
            <w:pPr>
              <w:pStyle w:val="Compact"/>
              <w:jc w:val="right"/>
            </w:pPr>
            <w:r>
              <w:t xml:space="preserve">£3,250</w:t>
            </w:r>
          </w:p>
        </w:tc>
      </w:tr>
      <w:tr>
        <w:tc>
          <w:tcPr/>
          <w:p>
            <w:pPr>
              <w:pStyle w:val="Compact"/>
            </w:pPr>
            <w:r>
              <w:t xml:space="preserve">Survey design, deployment and data collection</w:t>
            </w:r>
          </w:p>
        </w:tc>
        <w:tc>
          <w:tcPr/>
          <w:p>
            <w:pPr>
              <w:pStyle w:val="Compact"/>
            </w:pPr>
            <w:r>
              <w:t xml:space="preserve">David Anthony, Research Analyst</w:t>
            </w:r>
          </w:p>
        </w:tc>
        <w:tc>
          <w:tcPr/>
          <w:p>
            <w:pPr>
              <w:pStyle w:val="Compact"/>
              <w:jc w:val="right"/>
            </w:pPr>
            <w:r>
              <w:t xml:space="preserve">£450</w:t>
            </w:r>
          </w:p>
        </w:tc>
        <w:tc>
          <w:tcPr/>
          <w:p>
            <w:pPr>
              <w:pStyle w:val="Compact"/>
              <w:jc w:val="right"/>
            </w:pPr>
            <w:r>
              <w:t xml:space="preserve">12</w:t>
            </w:r>
          </w:p>
        </w:tc>
        <w:tc>
          <w:tcPr/>
          <w:p>
            <w:pPr>
              <w:pStyle w:val="Compact"/>
              <w:jc w:val="right"/>
            </w:pPr>
            <w:r>
              <w:t xml:space="preserve">£5,400</w:t>
            </w:r>
          </w:p>
        </w:tc>
      </w:tr>
      <w:tr>
        <w:tc>
          <w:tcPr/>
          <w:p>
            <w:pPr>
              <w:pStyle w:val="Compact"/>
            </w:pPr>
            <w:r>
              <w:t xml:space="preserve">Stakeholder interviews (15–20 interviews)</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10</w:t>
            </w:r>
          </w:p>
        </w:tc>
        <w:tc>
          <w:tcPr/>
          <w:p>
            <w:pPr>
              <w:pStyle w:val="Compact"/>
              <w:jc w:val="right"/>
            </w:pPr>
            <w:r>
              <w:t xml:space="preserve">£6,500</w:t>
            </w:r>
          </w:p>
        </w:tc>
      </w:tr>
      <w:tr>
        <w:tc>
          <w:tcPr/>
          <w:p>
            <w:pPr>
              <w:pStyle w:val="Compact"/>
            </w:pPr>
            <w:r>
              <w:t xml:space="preserve">Roundtable facilitation (2 events)</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4</w:t>
            </w:r>
          </w:p>
        </w:tc>
        <w:tc>
          <w:tcPr/>
          <w:p>
            <w:pPr>
              <w:pStyle w:val="Compact"/>
              <w:jc w:val="right"/>
            </w:pPr>
            <w:r>
              <w:t xml:space="preserve">£2,600</w:t>
            </w:r>
          </w:p>
        </w:tc>
      </w:tr>
      <w:tr>
        <w:tc>
          <w:tcPr>
            <w:gridSpan w:val="5"/>
          </w:tcPr>
          <w:p>
            <w:pPr>
              <w:pStyle w:val="Compact"/>
            </w:pPr>
            <w:r>
              <w:t xml:space="preserve">Phase 3: Analysis &amp; International Benchmarking</w:t>
            </w:r>
          </w:p>
        </w:tc>
      </w:tr>
      <w:tr>
        <w:tc>
          <w:tcPr/>
          <w:p>
            <w:pPr>
              <w:pStyle w:val="Compact"/>
            </w:pPr>
            <w:r>
              <w:t xml:space="preserve">Sector analysis, barrier/enabler assessment</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10</w:t>
            </w:r>
          </w:p>
        </w:tc>
        <w:tc>
          <w:tcPr/>
          <w:p>
            <w:pPr>
              <w:pStyle w:val="Compact"/>
              <w:jc w:val="right"/>
            </w:pPr>
            <w:r>
              <w:t xml:space="preserve">£6,500</w:t>
            </w:r>
          </w:p>
        </w:tc>
      </w:tr>
      <w:tr>
        <w:tc>
          <w:tcPr/>
          <w:p>
            <w:pPr>
              <w:pStyle w:val="Compact"/>
            </w:pPr>
            <w:r>
              <w:t xml:space="preserve">Quantitative data analysis</w:t>
            </w:r>
          </w:p>
        </w:tc>
        <w:tc>
          <w:tcPr/>
          <w:p>
            <w:pPr>
              <w:pStyle w:val="Compact"/>
            </w:pPr>
            <w:r>
              <w:t xml:space="preserve">David Anthony, Research Analyst</w:t>
            </w:r>
          </w:p>
        </w:tc>
        <w:tc>
          <w:tcPr/>
          <w:p>
            <w:pPr>
              <w:pStyle w:val="Compact"/>
              <w:jc w:val="right"/>
            </w:pPr>
            <w:r>
              <w:t xml:space="preserve">£450</w:t>
            </w:r>
          </w:p>
        </w:tc>
        <w:tc>
          <w:tcPr/>
          <w:p>
            <w:pPr>
              <w:pStyle w:val="Compact"/>
              <w:jc w:val="right"/>
            </w:pPr>
            <w:r>
              <w:t xml:space="preserve">8</w:t>
            </w:r>
          </w:p>
        </w:tc>
        <w:tc>
          <w:tcPr/>
          <w:p>
            <w:pPr>
              <w:pStyle w:val="Compact"/>
              <w:jc w:val="right"/>
            </w:pPr>
            <w:r>
              <w:t xml:space="preserve">£3,600</w:t>
            </w:r>
          </w:p>
        </w:tc>
      </w:tr>
      <w:tr>
        <w:tc>
          <w:tcPr/>
          <w:p>
            <w:pPr>
              <w:pStyle w:val="Compact"/>
            </w:pPr>
            <w:r>
              <w:t xml:space="preserve">International benchmarking research</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5</w:t>
            </w:r>
          </w:p>
        </w:tc>
        <w:tc>
          <w:tcPr/>
          <w:p>
            <w:pPr>
              <w:pStyle w:val="Compact"/>
              <w:jc w:val="right"/>
            </w:pPr>
            <w:r>
              <w:t xml:space="preserve">£3,250</w:t>
            </w:r>
          </w:p>
        </w:tc>
      </w:tr>
      <w:tr>
        <w:tc>
          <w:tcPr/>
          <w:p>
            <w:pPr>
              <w:pStyle w:val="Compact"/>
            </w:pPr>
            <w:r>
              <w:t xml:space="preserve">Public sector demand-side analysis</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5</w:t>
            </w:r>
          </w:p>
        </w:tc>
        <w:tc>
          <w:tcPr/>
          <w:p>
            <w:pPr>
              <w:pStyle w:val="Compact"/>
              <w:jc w:val="right"/>
            </w:pPr>
            <w:r>
              <w:t xml:space="preserve">£3,250</w:t>
            </w:r>
          </w:p>
        </w:tc>
      </w:tr>
      <w:tr>
        <w:tc>
          <w:tcPr>
            <w:gridSpan w:val="5"/>
          </w:tcPr>
          <w:p>
            <w:pPr>
              <w:pStyle w:val="Compact"/>
            </w:pPr>
            <w:r>
              <w:t xml:space="preserve">Phase 4: Recommendations Development</w:t>
            </w:r>
          </w:p>
        </w:tc>
      </w:tr>
      <w:tr>
        <w:tc>
          <w:tcPr/>
          <w:p>
            <w:pPr>
              <w:pStyle w:val="Compact"/>
            </w:pPr>
            <w:r>
              <w:t xml:space="preserve">Recommendation development &amp; stakeholder validation</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8</w:t>
            </w:r>
          </w:p>
        </w:tc>
        <w:tc>
          <w:tcPr/>
          <w:p>
            <w:pPr>
              <w:pStyle w:val="Compact"/>
              <w:jc w:val="right"/>
            </w:pPr>
            <w:r>
              <w:t xml:space="preserve">£5,200</w:t>
            </w:r>
          </w:p>
        </w:tc>
      </w:tr>
      <w:tr>
        <w:tc>
          <w:tcPr/>
          <w:p>
            <w:pPr>
              <w:pStyle w:val="Compact"/>
            </w:pPr>
            <w:r>
              <w:t xml:space="preserve">Recommendation workshop facilitation</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2</w:t>
            </w:r>
          </w:p>
        </w:tc>
        <w:tc>
          <w:tcPr/>
          <w:p>
            <w:pPr>
              <w:pStyle w:val="Compact"/>
              <w:jc w:val="right"/>
            </w:pPr>
            <w:r>
              <w:t xml:space="preserve">£1,300</w:t>
            </w:r>
          </w:p>
        </w:tc>
      </w:tr>
      <w:tr>
        <w:tc>
          <w:tcPr>
            <w:gridSpan w:val="5"/>
          </w:tcPr>
          <w:p>
            <w:pPr>
              <w:pStyle w:val="Compact"/>
            </w:pPr>
            <w:r>
              <w:t xml:space="preserve">Phase 5: Report Production</w:t>
            </w:r>
          </w:p>
        </w:tc>
      </w:tr>
      <w:tr>
        <w:tc>
          <w:tcPr/>
          <w:p>
            <w:pPr>
              <w:pStyle w:val="Compact"/>
            </w:pPr>
            <w:r>
              <w:t xml:space="preserve">Draft report writing and coordination</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8</w:t>
            </w:r>
          </w:p>
        </w:tc>
        <w:tc>
          <w:tcPr/>
          <w:p>
            <w:pPr>
              <w:pStyle w:val="Compact"/>
              <w:jc w:val="right"/>
            </w:pPr>
            <w:r>
              <w:t xml:space="preserve">£5,200</w:t>
            </w:r>
          </w:p>
        </w:tc>
      </w:tr>
      <w:tr>
        <w:tc>
          <w:tcPr/>
          <w:p>
            <w:pPr>
              <w:pStyle w:val="Compact"/>
            </w:pPr>
            <w:r>
              <w:t xml:space="preserve">Report writing, editing and production</w:t>
            </w:r>
          </w:p>
        </w:tc>
        <w:tc>
          <w:tcPr/>
          <w:p>
            <w:pPr>
              <w:pStyle w:val="Compact"/>
            </w:pPr>
            <w:r>
              <w:t xml:space="preserve">Priyanka Kasture, Report Writer</w:t>
            </w:r>
          </w:p>
        </w:tc>
        <w:tc>
          <w:tcPr/>
          <w:p>
            <w:pPr>
              <w:pStyle w:val="Compact"/>
              <w:jc w:val="right"/>
            </w:pPr>
            <w:r>
              <w:t xml:space="preserve">£400</w:t>
            </w:r>
          </w:p>
        </w:tc>
        <w:tc>
          <w:tcPr/>
          <w:p>
            <w:pPr>
              <w:pStyle w:val="Compact"/>
              <w:jc w:val="right"/>
            </w:pPr>
            <w:r>
              <w:t xml:space="preserve">12</w:t>
            </w:r>
          </w:p>
        </w:tc>
        <w:tc>
          <w:tcPr/>
          <w:p>
            <w:pPr>
              <w:pStyle w:val="Compact"/>
              <w:jc w:val="right"/>
            </w:pPr>
            <w:r>
              <w:t xml:space="preserve">£4,800</w:t>
            </w:r>
          </w:p>
        </w:tc>
      </w:tr>
      <w:tr>
        <w:tc>
          <w:tcPr/>
          <w:p>
            <w:pPr>
              <w:pStyle w:val="Compact"/>
            </w:pPr>
            <w:r>
              <w:t xml:space="preserve">Data visualisation and graphics</w:t>
            </w:r>
          </w:p>
        </w:tc>
        <w:tc>
          <w:tcPr/>
          <w:p>
            <w:pPr>
              <w:pStyle w:val="Compact"/>
            </w:pPr>
            <w:r>
              <w:t xml:space="preserve">Priyanka Kasture, Report Writer</w:t>
            </w:r>
          </w:p>
        </w:tc>
        <w:tc>
          <w:tcPr/>
          <w:p>
            <w:pPr>
              <w:pStyle w:val="Compact"/>
              <w:jc w:val="right"/>
            </w:pPr>
            <w:r>
              <w:t xml:space="preserve">£400</w:t>
            </w:r>
          </w:p>
        </w:tc>
        <w:tc>
          <w:tcPr/>
          <w:p>
            <w:pPr>
              <w:pStyle w:val="Compact"/>
              <w:jc w:val="right"/>
            </w:pPr>
            <w:r>
              <w:t xml:space="preserve">3</w:t>
            </w:r>
          </w:p>
        </w:tc>
        <w:tc>
          <w:tcPr/>
          <w:p>
            <w:pPr>
              <w:pStyle w:val="Compact"/>
              <w:jc w:val="right"/>
            </w:pPr>
            <w:r>
              <w:t xml:space="preserve">£1,200</w:t>
            </w:r>
          </w:p>
        </w:tc>
      </w:tr>
      <w:tr>
        <w:tc>
          <w:tcPr>
            <w:gridSpan w:val="5"/>
          </w:tcPr>
          <w:p>
            <w:pPr>
              <w:pStyle w:val="Compact"/>
            </w:pPr>
            <w:r>
              <w:t xml:space="preserve">Phase 6: Finalisation &amp; Presentation</w:t>
            </w:r>
          </w:p>
        </w:tc>
      </w:tr>
      <w:tr>
        <w:tc>
          <w:tcPr/>
          <w:p>
            <w:pPr>
              <w:pStyle w:val="Compact"/>
            </w:pPr>
            <w:r>
              <w:t xml:space="preserve">Steering group engagement &amp; revisions</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4</w:t>
            </w:r>
          </w:p>
        </w:tc>
        <w:tc>
          <w:tcPr/>
          <w:p>
            <w:pPr>
              <w:pStyle w:val="Compact"/>
              <w:jc w:val="right"/>
            </w:pPr>
            <w:r>
              <w:t xml:space="preserve">£2,600</w:t>
            </w:r>
          </w:p>
        </w:tc>
      </w:tr>
      <w:tr>
        <w:tc>
          <w:tcPr/>
          <w:p>
            <w:pPr>
              <w:pStyle w:val="Compact"/>
            </w:pPr>
            <w:r>
              <w:t xml:space="preserve">Final report revisions</w:t>
            </w:r>
          </w:p>
        </w:tc>
        <w:tc>
          <w:tcPr/>
          <w:p>
            <w:pPr>
              <w:pStyle w:val="Compact"/>
            </w:pPr>
            <w:r>
              <w:t xml:space="preserve">Priyanka Kasture, Report Writer</w:t>
            </w:r>
          </w:p>
        </w:tc>
        <w:tc>
          <w:tcPr/>
          <w:p>
            <w:pPr>
              <w:pStyle w:val="Compact"/>
              <w:jc w:val="right"/>
            </w:pPr>
            <w:r>
              <w:t xml:space="preserve">£400</w:t>
            </w:r>
          </w:p>
        </w:tc>
        <w:tc>
          <w:tcPr/>
          <w:p>
            <w:pPr>
              <w:pStyle w:val="Compact"/>
              <w:jc w:val="right"/>
            </w:pPr>
            <w:r>
              <w:t xml:space="preserve">3</w:t>
            </w:r>
          </w:p>
        </w:tc>
        <w:tc>
          <w:tcPr/>
          <w:p>
            <w:pPr>
              <w:pStyle w:val="Compact"/>
              <w:jc w:val="right"/>
            </w:pPr>
            <w:r>
              <w:t xml:space="preserve">£1,200</w:t>
            </w:r>
          </w:p>
        </w:tc>
      </w:tr>
      <w:tr>
        <w:tc>
          <w:tcPr/>
          <w:p>
            <w:pPr>
              <w:pStyle w:val="Compact"/>
            </w:pPr>
            <w:r>
              <w:t xml:space="preserve">Board/SLT presentation preparation &amp; delivery</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3</w:t>
            </w:r>
          </w:p>
        </w:tc>
        <w:tc>
          <w:tcPr/>
          <w:p>
            <w:pPr>
              <w:pStyle w:val="Compact"/>
              <w:jc w:val="right"/>
            </w:pPr>
            <w:r>
              <w:t xml:space="preserve">£1,950</w:t>
            </w:r>
          </w:p>
        </w:tc>
      </w:tr>
      <w:tr>
        <w:tc>
          <w:tcPr>
            <w:gridSpan w:val="5"/>
          </w:tcPr>
          <w:p>
            <w:pPr>
              <w:pStyle w:val="Compact"/>
            </w:pPr>
            <w:r>
              <w:t xml:space="preserve">Project Management</w:t>
            </w:r>
          </w:p>
        </w:tc>
      </w:tr>
      <w:tr>
        <w:tc>
          <w:tcPr/>
          <w:p>
            <w:pPr>
              <w:pStyle w:val="Compact"/>
            </w:pPr>
            <w:r>
              <w:t xml:space="preserve">Ongoing project management, reporting, QA</w:t>
            </w:r>
          </w:p>
        </w:tc>
        <w:tc>
          <w:tcPr/>
          <w:p>
            <w:pPr>
              <w:pStyle w:val="Compact"/>
            </w:pPr>
            <w:r>
              <w:t xml:space="preserve">Phil Patterson, Project Lead/AI Specialist</w:t>
            </w:r>
          </w:p>
        </w:tc>
        <w:tc>
          <w:tcPr/>
          <w:p>
            <w:pPr>
              <w:pStyle w:val="Compact"/>
              <w:jc w:val="right"/>
            </w:pPr>
            <w:r>
              <w:t xml:space="preserve">£650</w:t>
            </w:r>
          </w:p>
        </w:tc>
        <w:tc>
          <w:tcPr/>
          <w:p>
            <w:pPr>
              <w:pStyle w:val="Compact"/>
              <w:jc w:val="right"/>
            </w:pPr>
            <w:r>
              <w:t xml:space="preserve">6</w:t>
            </w:r>
          </w:p>
        </w:tc>
        <w:tc>
          <w:tcPr/>
          <w:p>
            <w:pPr>
              <w:pStyle w:val="Compact"/>
              <w:jc w:val="right"/>
            </w:pPr>
            <w:r>
              <w:t xml:space="preserve">£3,900</w:t>
            </w:r>
          </w:p>
        </w:tc>
      </w:tr>
      <w:tr>
        <w:tc>
          <w:tcPr/>
          <w:p>
            <w:pPr>
              <w:pStyle w:val="Compact"/>
            </w:pPr>
            <w:r>
              <w:t xml:space="preserve">Personnel Totals</w:t>
            </w:r>
          </w:p>
        </w:tc>
        <w:tc>
          <w:tcPr/>
          <w:p>
            <w:pPr>
              <w:pStyle w:val="Compact"/>
            </w:pPr>
          </w:p>
        </w:tc>
        <w:tc>
          <w:tcPr/>
          <w:p>
            <w:pPr>
              <w:pStyle w:val="Compact"/>
            </w:pPr>
          </w:p>
        </w:tc>
        <w:tc>
          <w:tcPr/>
          <w:p>
            <w:pPr>
              <w:pStyle w:val="Compact"/>
              <w:jc w:val="right"/>
            </w:pPr>
            <w:r>
              <w:t xml:space="preserve">123</w:t>
            </w:r>
          </w:p>
        </w:tc>
        <w:tc>
          <w:tcPr/>
          <w:p>
            <w:pPr>
              <w:pStyle w:val="Compact"/>
              <w:jc w:val="right"/>
            </w:pPr>
            <w:r>
              <w:t xml:space="preserve">£70,450</w:t>
            </w:r>
          </w:p>
        </w:tc>
      </w:tr>
    </w:tbl>
    <w:bookmarkEnd w:id="79"/>
    <w:bookmarkStart w:id="80" w:name="summary-by-role"/>
    <w:p>
      <w:pPr>
        <w:pStyle w:val="Heading3"/>
      </w:pPr>
      <w:r>
        <w:t xml:space="preserve">Summary by Role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Role</w:t>
            </w:r>
          </w:p>
        </w:tc>
        <w:tc>
          <w:tcPr/>
          <w:p>
            <w:pPr>
              <w:pStyle w:val="Compact"/>
              <w:jc w:val="right"/>
            </w:pPr>
            <w:r>
              <w:t xml:space="preserve">Daily Rate</w:t>
            </w:r>
          </w:p>
        </w:tc>
        <w:tc>
          <w:tcPr/>
          <w:p>
            <w:pPr>
              <w:pStyle w:val="Compact"/>
              <w:jc w:val="right"/>
            </w:pPr>
            <w:r>
              <w:t xml:space="preserve">Total Days</w:t>
            </w:r>
          </w:p>
        </w:tc>
        <w:tc>
          <w:tcPr/>
          <w:p>
            <w:pPr>
              <w:pStyle w:val="Compact"/>
              <w:jc w:val="right"/>
            </w:pPr>
            <w:r>
              <w:t xml:space="preserve">Total Cost</w:t>
            </w:r>
          </w:p>
        </w:tc>
      </w:tr>
      <w:tr>
        <w:tc>
          <w:tcPr/>
          <w:p>
            <w:pPr>
              <w:pStyle w:val="Compact"/>
            </w:pPr>
            <w:r>
              <w:t xml:space="preserve">Phil Patterson — Project Lead / AI Specialist</w:t>
            </w:r>
          </w:p>
        </w:tc>
        <w:tc>
          <w:tcPr/>
          <w:p>
            <w:pPr>
              <w:pStyle w:val="Compact"/>
              <w:jc w:val="right"/>
            </w:pPr>
            <w:r>
              <w:t xml:space="preserve">£650</w:t>
            </w:r>
          </w:p>
        </w:tc>
        <w:tc>
          <w:tcPr/>
          <w:p>
            <w:pPr>
              <w:pStyle w:val="Compact"/>
              <w:jc w:val="right"/>
            </w:pPr>
            <w:r>
              <w:t xml:space="preserve">80</w:t>
            </w:r>
          </w:p>
        </w:tc>
        <w:tc>
          <w:tcPr/>
          <w:p>
            <w:pPr>
              <w:pStyle w:val="Compact"/>
              <w:jc w:val="right"/>
            </w:pPr>
            <w:r>
              <w:t xml:space="preserve">£52,000</w:t>
            </w:r>
          </w:p>
        </w:tc>
      </w:tr>
      <w:tr>
        <w:tc>
          <w:tcPr/>
          <w:p>
            <w:pPr>
              <w:pStyle w:val="Compact"/>
            </w:pPr>
            <w:r>
              <w:t xml:space="preserve">David Anthony — Research Analyst (Subcontractor)</w:t>
            </w:r>
          </w:p>
        </w:tc>
        <w:tc>
          <w:tcPr/>
          <w:p>
            <w:pPr>
              <w:pStyle w:val="Compact"/>
              <w:jc w:val="right"/>
            </w:pPr>
            <w:r>
              <w:t xml:space="preserve">£450</w:t>
            </w:r>
          </w:p>
        </w:tc>
        <w:tc>
          <w:tcPr/>
          <w:p>
            <w:pPr>
              <w:pStyle w:val="Compact"/>
              <w:jc w:val="right"/>
            </w:pPr>
            <w:r>
              <w:t xml:space="preserve">25</w:t>
            </w:r>
          </w:p>
        </w:tc>
        <w:tc>
          <w:tcPr/>
          <w:p>
            <w:pPr>
              <w:pStyle w:val="Compact"/>
              <w:jc w:val="right"/>
            </w:pPr>
            <w:r>
              <w:t xml:space="preserve">£11,250</w:t>
            </w:r>
          </w:p>
        </w:tc>
      </w:tr>
      <w:tr>
        <w:tc>
          <w:tcPr/>
          <w:p>
            <w:pPr>
              <w:pStyle w:val="Compact"/>
            </w:pPr>
            <w:r>
              <w:t xml:space="preserve">Priyanka Kasture — Report Writer (Subcontractor)</w:t>
            </w:r>
          </w:p>
        </w:tc>
        <w:tc>
          <w:tcPr/>
          <w:p>
            <w:pPr>
              <w:pStyle w:val="Compact"/>
              <w:jc w:val="right"/>
            </w:pPr>
            <w:r>
              <w:t xml:space="preserve">£400</w:t>
            </w:r>
          </w:p>
        </w:tc>
        <w:tc>
          <w:tcPr/>
          <w:p>
            <w:pPr>
              <w:pStyle w:val="Compact"/>
              <w:jc w:val="right"/>
            </w:pPr>
            <w:r>
              <w:t xml:space="preserve">18</w:t>
            </w:r>
          </w:p>
        </w:tc>
        <w:tc>
          <w:tcPr/>
          <w:p>
            <w:pPr>
              <w:pStyle w:val="Compact"/>
              <w:jc w:val="right"/>
            </w:pPr>
            <w:r>
              <w:t xml:space="preserve">£7,200</w:t>
            </w:r>
          </w:p>
        </w:tc>
      </w:tr>
      <w:tr>
        <w:tc>
          <w:tcPr/>
          <w:p>
            <w:pPr>
              <w:pStyle w:val="Compact"/>
            </w:pPr>
            <w:r>
              <w:t xml:space="preserve">Personnel Subtotal</w:t>
            </w:r>
          </w:p>
        </w:tc>
        <w:tc>
          <w:tcPr/>
          <w:p>
            <w:pPr>
              <w:pStyle w:val="Compact"/>
            </w:pPr>
          </w:p>
        </w:tc>
        <w:tc>
          <w:tcPr/>
          <w:p>
            <w:pPr>
              <w:pStyle w:val="Compact"/>
              <w:jc w:val="right"/>
            </w:pPr>
            <w:r>
              <w:t xml:space="preserve">123</w:t>
            </w:r>
          </w:p>
        </w:tc>
        <w:tc>
          <w:tcPr/>
          <w:p>
            <w:pPr>
              <w:pStyle w:val="Compact"/>
              <w:jc w:val="right"/>
            </w:pPr>
            <w:r>
              <w:t xml:space="preserve">£70,450</w:t>
            </w:r>
          </w:p>
        </w:tc>
      </w:tr>
    </w:tbl>
    <w:bookmarkEnd w:id="80"/>
    <w:bookmarkStart w:id="81" w:name="estimate-of-expenses"/>
    <w:p>
      <w:pPr>
        <w:pStyle w:val="Heading3"/>
      </w:pPr>
      <w:r>
        <w:t xml:space="preserve">Estimate of Expenses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Expense Description</w:t>
            </w:r>
          </w:p>
        </w:tc>
        <w:tc>
          <w:tcPr/>
          <w:p>
            <w:pPr>
              <w:pStyle w:val="Compact"/>
              <w:jc w:val="right"/>
            </w:pPr>
            <w:r>
              <w:t xml:space="preserve">Estimated Amount (£)</w:t>
            </w:r>
          </w:p>
        </w:tc>
      </w:tr>
      <w:tr>
        <w:tc>
          <w:tcPr/>
          <w:p>
            <w:pPr>
              <w:pStyle w:val="Compact"/>
            </w:pPr>
            <w:r>
              <w:t xml:space="preserve">Travel — stakeholder interviews and roundtables (Belfast, Dublin, regional)</w:t>
            </w:r>
          </w:p>
        </w:tc>
        <w:tc>
          <w:tcPr/>
          <w:p>
            <w:pPr>
              <w:pStyle w:val="Compact"/>
              <w:jc w:val="right"/>
            </w:pPr>
            <w:r>
              <w:t xml:space="preserve">£600</w:t>
            </w:r>
          </w:p>
        </w:tc>
      </w:tr>
      <w:tr>
        <w:tc>
          <w:tcPr/>
          <w:p>
            <w:pPr>
              <w:pStyle w:val="Compact"/>
            </w:pPr>
            <w:r>
              <w:t xml:space="preserve">Venue hire — 2 roundtable events</w:t>
            </w:r>
          </w:p>
        </w:tc>
        <w:tc>
          <w:tcPr/>
          <w:p>
            <w:pPr>
              <w:pStyle w:val="Compact"/>
              <w:jc w:val="right"/>
            </w:pPr>
            <w:r>
              <w:t xml:space="preserve">£400</w:t>
            </w:r>
          </w:p>
        </w:tc>
      </w:tr>
      <w:tr>
        <w:tc>
          <w:tcPr/>
          <w:p>
            <w:pPr>
              <w:pStyle w:val="Compact"/>
            </w:pPr>
            <w:r>
              <w:t xml:space="preserve">Online survey platform (licence and deployment)</w:t>
            </w:r>
          </w:p>
        </w:tc>
        <w:tc>
          <w:tcPr/>
          <w:p>
            <w:pPr>
              <w:pStyle w:val="Compact"/>
              <w:jc w:val="right"/>
            </w:pPr>
            <w:r>
              <w:t xml:space="preserve">£250</w:t>
            </w:r>
          </w:p>
        </w:tc>
      </w:tr>
      <w:tr>
        <w:tc>
          <w:tcPr/>
          <w:p>
            <w:pPr>
              <w:pStyle w:val="Compact"/>
            </w:pPr>
            <w:r>
              <w:t xml:space="preserve">Printing and report production</w:t>
            </w:r>
          </w:p>
        </w:tc>
        <w:tc>
          <w:tcPr/>
          <w:p>
            <w:pPr>
              <w:pStyle w:val="Compact"/>
              <w:jc w:val="right"/>
            </w:pPr>
            <w:r>
              <w:t xml:space="preserve">£150</w:t>
            </w:r>
          </w:p>
        </w:tc>
      </w:tr>
      <w:tr>
        <w:tc>
          <w:tcPr/>
          <w:p>
            <w:pPr>
              <w:pStyle w:val="Compact"/>
            </w:pPr>
            <w:r>
              <w:t xml:space="preserve">Telecommunications and video conferencing</w:t>
            </w:r>
          </w:p>
        </w:tc>
        <w:tc>
          <w:tcPr/>
          <w:p>
            <w:pPr>
              <w:pStyle w:val="Compact"/>
              <w:jc w:val="right"/>
            </w:pPr>
            <w:r>
              <w:t xml:space="preserve">£100</w:t>
            </w:r>
          </w:p>
        </w:tc>
      </w:tr>
      <w:tr>
        <w:tc>
          <w:tcPr/>
          <w:p>
            <w:pPr>
              <w:pStyle w:val="Compact"/>
            </w:pPr>
            <w:r>
              <w:t xml:space="preserve">Miscellaneous</w:t>
            </w:r>
          </w:p>
        </w:tc>
        <w:tc>
          <w:tcPr/>
          <w:p>
            <w:pPr>
              <w:pStyle w:val="Compact"/>
              <w:jc w:val="right"/>
            </w:pPr>
            <w:r>
              <w:t xml:space="preserve">£50</w:t>
            </w:r>
          </w:p>
        </w:tc>
      </w:tr>
      <w:tr>
        <w:tc>
          <w:tcPr/>
          <w:p>
            <w:pPr>
              <w:pStyle w:val="Compact"/>
            </w:pPr>
            <w:r>
              <w:t xml:space="preserve">Expenses Total</w:t>
            </w:r>
          </w:p>
        </w:tc>
        <w:tc>
          <w:tcPr/>
          <w:p>
            <w:pPr>
              <w:pStyle w:val="Compact"/>
              <w:jc w:val="right"/>
            </w:pPr>
            <w:r>
              <w:t xml:space="preserve">£1,550</w:t>
            </w:r>
          </w:p>
        </w:tc>
      </w:tr>
    </w:tbl>
    <w:bookmarkEnd w:id="81"/>
    <w:bookmarkStart w:id="82" w:name="total"/>
    <w:p>
      <w:pPr>
        <w:pStyle w:val="Heading3"/>
      </w:pPr>
      <w:r>
        <w:t xml:space="preserve">Total</w:t>
      </w:r>
    </w:p>
    <w:tbl>
      <w:tblPr>
        <w:tblStyle w:val="Table"/>
        <w:tblW w:type="auto" w:w="0"/>
        <w:tblLook w:firstRow="0" w:lastRow="0" w:firstColumn="0" w:lastColumn="0" w:noHBand="0" w:noVBand="0" w:val="0000"/>
      </w:tblPr>
      <w:tblGrid>
        <w:gridCol w:w="3960"/>
        <w:gridCol w:w="3960"/>
      </w:tblGrid>
      <w:tr>
        <w:tc>
          <w:tcPr/>
          <w:p>
            <w:pPr>
              <w:pStyle w:val="Compact"/>
            </w:pPr>
            <w:r>
              <w:t xml:space="preserve">Personnel costs</w:t>
            </w:r>
          </w:p>
        </w:tc>
        <w:tc>
          <w:tcPr/>
          <w:p>
            <w:pPr>
              <w:pStyle w:val="Compact"/>
              <w:jc w:val="right"/>
            </w:pPr>
            <w:r>
              <w:t xml:space="preserve">£70,450</w:t>
            </w:r>
          </w:p>
        </w:tc>
      </w:tr>
      <w:tr>
        <w:tc>
          <w:tcPr/>
          <w:p>
            <w:pPr>
              <w:pStyle w:val="Compact"/>
            </w:pPr>
            <w:r>
              <w:t xml:space="preserve">Expenses</w:t>
            </w:r>
          </w:p>
        </w:tc>
        <w:tc>
          <w:tcPr/>
          <w:p>
            <w:pPr>
              <w:pStyle w:val="Compact"/>
              <w:jc w:val="right"/>
            </w:pPr>
            <w:r>
              <w:t xml:space="preserve">£1,550</w:t>
            </w:r>
          </w:p>
        </w:tc>
      </w:tr>
      <w:tr>
        <w:tc>
          <w:tcPr/>
          <w:p>
            <w:pPr>
              <w:pStyle w:val="Compact"/>
            </w:pPr>
            <w:r>
              <w:t xml:space="preserve">Total Assignment Cost (exclusive of VAT)</w:t>
            </w:r>
          </w:p>
        </w:tc>
        <w:tc>
          <w:tcPr/>
          <w:p>
            <w:pPr>
              <w:pStyle w:val="Compact"/>
              <w:jc w:val="right"/>
            </w:pPr>
            <w:r>
              <w:t xml:space="preserve">£72,000</w:t>
            </w:r>
          </w:p>
        </w:tc>
      </w:tr>
    </w:tbl>
    <w:bookmarkEnd w:id="82"/>
    <w:bookmarkStart w:id="83" w:name="payment-schedule"/>
    <w:p>
      <w:pPr>
        <w:pStyle w:val="Heading3"/>
      </w:pPr>
      <w:r>
        <w:t xml:space="preserve">Payment Schedule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Milestone</w:t>
            </w:r>
          </w:p>
        </w:tc>
        <w:tc>
          <w:tcPr/>
          <w:p>
            <w:pPr>
              <w:pStyle w:val="Compact"/>
              <w:jc w:val="right"/>
            </w:pPr>
            <w:r>
              <w:t xml:space="preserve">Amount</w:t>
            </w:r>
          </w:p>
        </w:tc>
      </w:tr>
      <w:tr>
        <w:tc>
          <w:tcPr/>
          <w:p>
            <w:pPr>
              <w:pStyle w:val="Compact"/>
            </w:pPr>
            <w:r>
              <w:t xml:space="preserve">50% on receipt of satisfactory draft report</w:t>
            </w:r>
          </w:p>
        </w:tc>
        <w:tc>
          <w:tcPr/>
          <w:p>
            <w:pPr>
              <w:pStyle w:val="Compact"/>
              <w:jc w:val="right"/>
            </w:pPr>
            <w:r>
              <w:t xml:space="preserve">£36,000</w:t>
            </w:r>
          </w:p>
        </w:tc>
      </w:tr>
      <w:tr>
        <w:tc>
          <w:tcPr/>
          <w:p>
            <w:pPr>
              <w:pStyle w:val="Compact"/>
            </w:pPr>
            <w:r>
              <w:t xml:space="preserve">50% on approval of final report</w:t>
            </w:r>
          </w:p>
        </w:tc>
        <w:tc>
          <w:tcPr/>
          <w:p>
            <w:pPr>
              <w:pStyle w:val="Compact"/>
              <w:jc w:val="right"/>
            </w:pPr>
            <w:r>
              <w:t xml:space="preserve">£36,000</w:t>
            </w:r>
          </w:p>
        </w:tc>
      </w:tr>
      <w:tr>
        <w:tc>
          <w:tcPr/>
          <w:p>
            <w:pPr>
              <w:pStyle w:val="Compact"/>
            </w:pPr>
            <w:r>
              <w:t xml:space="preserve">Total</w:t>
            </w:r>
          </w:p>
        </w:tc>
        <w:tc>
          <w:tcPr/>
          <w:p>
            <w:pPr>
              <w:pStyle w:val="Compact"/>
              <w:jc w:val="right"/>
            </w:pPr>
            <w:r>
              <w:t xml:space="preserve">£72,000</w:t>
            </w:r>
          </w:p>
        </w:tc>
      </w:tr>
    </w:tbl>
    <w:bookmarkEnd w:id="83"/>
    <w:bookmarkEnd w:id="84"/>
    <w:bookmarkStart w:id="86" w:name="project-plan-and-timeline"/>
    <w:p>
      <w:pPr>
        <w:pStyle w:val="Heading2"/>
      </w:pPr>
      <w:r>
        <w:t xml:space="preserve">10. Project Plan and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Week</w:t>
            </w:r>
          </w:p>
        </w:tc>
        <w:tc>
          <w:tcPr/>
          <w:p>
            <w:pPr>
              <w:pStyle w:val="Compact"/>
            </w:pPr>
            <w:r>
              <w:t xml:space="preserve">Phase</w:t>
            </w:r>
          </w:p>
        </w:tc>
        <w:tc>
          <w:tcPr/>
          <w:p>
            <w:pPr>
              <w:pStyle w:val="Compact"/>
            </w:pPr>
            <w:r>
              <w:t xml:space="preserve">Key Activities</w:t>
            </w:r>
          </w:p>
        </w:tc>
        <w:tc>
          <w:tcPr/>
          <w:p>
            <w:pPr>
              <w:pStyle w:val="Compact"/>
            </w:pPr>
            <w:r>
              <w:t xml:space="preserve">Deliverable</w:t>
            </w:r>
          </w:p>
        </w:tc>
      </w:tr>
      <w:tr>
        <w:tc>
          <w:tcPr/>
          <w:p>
            <w:pPr>
              <w:pStyle w:val="Compact"/>
            </w:pPr>
            <w:r>
              <w:t xml:space="preserve">1–2</w:t>
            </w:r>
          </w:p>
        </w:tc>
        <w:tc>
          <w:tcPr/>
          <w:p>
            <w:pPr>
              <w:pStyle w:val="Compact"/>
            </w:pPr>
            <w:r>
              <w:t xml:space="preserve">Inception</w:t>
            </w:r>
          </w:p>
        </w:tc>
        <w:tc>
          <w:tcPr/>
          <w:p>
            <w:pPr>
              <w:pStyle w:val="Compact"/>
            </w:pPr>
            <w:r>
              <w:t xml:space="preserve">Kick-off with steering group; finalise methodology; confirm subcontractors</w:t>
            </w:r>
          </w:p>
        </w:tc>
        <w:tc>
          <w:tcPr/>
          <w:p>
            <w:pPr>
              <w:pStyle w:val="Compact"/>
            </w:pPr>
            <w:r>
              <w:t xml:space="preserve">Inception report</w:t>
            </w:r>
          </w:p>
        </w:tc>
      </w:tr>
      <w:tr>
        <w:tc>
          <w:tcPr/>
          <w:p>
            <w:pPr>
              <w:pStyle w:val="Compact"/>
            </w:pPr>
            <w:r>
              <w:t xml:space="preserve">1–3</w:t>
            </w:r>
          </w:p>
        </w:tc>
        <w:tc>
          <w:tcPr/>
          <w:p>
            <w:pPr>
              <w:pStyle w:val="Compact"/>
            </w:pPr>
            <w:r>
              <w:t xml:space="preserve">Phase 1: Landscape</w:t>
            </w:r>
          </w:p>
        </w:tc>
        <w:tc>
          <w:tcPr/>
          <w:p>
            <w:pPr>
              <w:pStyle w:val="Compact"/>
            </w:pPr>
            <w:r>
              <w:t xml:space="preserve">Desk research; policy review; research matrix</w:t>
            </w:r>
          </w:p>
        </w:tc>
        <w:tc>
          <w:tcPr/>
          <w:p>
            <w:pPr>
              <w:pStyle w:val="Compact"/>
            </w:pPr>
            <w:r>
              <w:t xml:space="preserve">Research matrix shared with steering group</w:t>
            </w:r>
          </w:p>
        </w:tc>
      </w:tr>
      <w:tr>
        <w:tc>
          <w:tcPr/>
          <w:p>
            <w:pPr>
              <w:pStyle w:val="Compact"/>
            </w:pPr>
            <w:r>
              <w:t xml:space="preserve">2–5</w:t>
            </w:r>
          </w:p>
        </w:tc>
        <w:tc>
          <w:tcPr/>
          <w:p>
            <w:pPr>
              <w:pStyle w:val="Compact"/>
            </w:pPr>
            <w:r>
              <w:t xml:space="preserve">Phase 2: Fieldwork</w:t>
            </w:r>
          </w:p>
        </w:tc>
        <w:tc>
          <w:tcPr/>
          <w:p>
            <w:pPr>
              <w:pStyle w:val="Compact"/>
            </w:pPr>
            <w:r>
              <w:t xml:space="preserve">Survey deployment; 15–20 stakeholder interviews; 2 roundtables</w:t>
            </w:r>
          </w:p>
        </w:tc>
        <w:tc>
          <w:tcPr/>
          <w:p>
            <w:pPr>
              <w:pStyle w:val="Compact"/>
            </w:pPr>
            <w:r>
              <w:t xml:space="preserve">Raw data collected</w:t>
            </w:r>
          </w:p>
        </w:tc>
      </w:tr>
      <w:tr>
        <w:tc>
          <w:tcPr/>
          <w:p>
            <w:pPr>
              <w:pStyle w:val="Compact"/>
            </w:pPr>
            <w:r>
              <w:t xml:space="preserve">3–6</w:t>
            </w:r>
          </w:p>
        </w:tc>
        <w:tc>
          <w:tcPr/>
          <w:p>
            <w:pPr>
              <w:pStyle w:val="Compact"/>
            </w:pPr>
            <w:r>
              <w:t xml:space="preserve">Phase 2: Case Studies</w:t>
            </w:r>
          </w:p>
        </w:tc>
        <w:tc>
          <w:tcPr/>
          <w:p>
            <w:pPr>
              <w:pStyle w:val="Compact"/>
            </w:pPr>
            <w:r>
              <w:t xml:space="preserve">8–10 SME in-depth case studies</w:t>
            </w:r>
          </w:p>
        </w:tc>
        <w:tc>
          <w:tcPr/>
          <w:p>
            <w:pPr>
              <w:pStyle w:val="Compact"/>
            </w:pPr>
            <w:r>
              <w:t xml:space="preserve">Case study drafts</w:t>
            </w:r>
          </w:p>
        </w:tc>
      </w:tr>
      <w:tr>
        <w:tc>
          <w:tcPr/>
          <w:p>
            <w:pPr>
              <w:pStyle w:val="Compact"/>
            </w:pPr>
            <w:r>
              <w:t xml:space="preserve">4–8</w:t>
            </w:r>
          </w:p>
        </w:tc>
        <w:tc>
          <w:tcPr/>
          <w:p>
            <w:pPr>
              <w:pStyle w:val="Compact"/>
            </w:pPr>
            <w:r>
              <w:t xml:space="preserve">Phase 3: Analysis</w:t>
            </w:r>
          </w:p>
        </w:tc>
        <w:tc>
          <w:tcPr/>
          <w:p>
            <w:pPr>
              <w:pStyle w:val="Compact"/>
            </w:pPr>
            <w:r>
              <w:t xml:space="preserve">Sector analysis; barrier/enabler assessment; international benchmarking; public sector analysis</w:t>
            </w:r>
          </w:p>
        </w:tc>
        <w:tc>
          <w:tcPr/>
          <w:p>
            <w:pPr>
              <w:pStyle w:val="Compact"/>
            </w:pPr>
            <w:r>
              <w:t xml:space="preserve">Analytical chapters drafted</w:t>
            </w:r>
          </w:p>
        </w:tc>
      </w:tr>
      <w:tr>
        <w:tc>
          <w:tcPr/>
          <w:p>
            <w:pPr>
              <w:pStyle w:val="Compact"/>
            </w:pPr>
            <w:r>
              <w:t xml:space="preserve">8–10</w:t>
            </w:r>
          </w:p>
        </w:tc>
        <w:tc>
          <w:tcPr/>
          <w:p>
            <w:pPr>
              <w:pStyle w:val="Compact"/>
            </w:pPr>
            <w:r>
              <w:t xml:space="preserve">Phase 4: Recommendations</w:t>
            </w:r>
          </w:p>
        </w:tc>
        <w:tc>
          <w:tcPr/>
          <w:p>
            <w:pPr>
              <w:pStyle w:val="Compact"/>
            </w:pPr>
            <w:r>
              <w:t xml:space="preserve">Evidence synthesis; recommendation workshop; stakeholder validation</w:t>
            </w:r>
          </w:p>
        </w:tc>
        <w:tc>
          <w:tcPr/>
          <w:p>
            <w:pPr>
              <w:pStyle w:val="Compact"/>
            </w:pPr>
            <w:r>
              <w:t xml:space="preserve">Draft recommendations</w:t>
            </w:r>
          </w:p>
        </w:tc>
      </w:tr>
      <w:tr>
        <w:tc>
          <w:tcPr/>
          <w:p>
            <w:pPr>
              <w:pStyle w:val="Compact"/>
            </w:pPr>
            <w:r>
              <w:t xml:space="preserve">10–14</w:t>
            </w:r>
          </w:p>
        </w:tc>
        <w:tc>
          <w:tcPr/>
          <w:p>
            <w:pPr>
              <w:pStyle w:val="Compact"/>
            </w:pPr>
            <w:r>
              <w:t xml:space="preserve">Phase 5: Draft Report</w:t>
            </w:r>
          </w:p>
        </w:tc>
        <w:tc>
          <w:tcPr/>
          <w:p>
            <w:pPr>
              <w:pStyle w:val="Compact"/>
            </w:pPr>
            <w:r>
              <w:t xml:space="preserve">Full draft report production</w:t>
            </w:r>
          </w:p>
        </w:tc>
        <w:tc>
          <w:tcPr/>
          <w:p>
            <w:pPr>
              <w:pStyle w:val="Compact"/>
            </w:pPr>
            <w:r>
              <w:rPr>
                <w:b/>
                <w:bCs/>
              </w:rPr>
              <w:t xml:space="preserve">Draft report submitted</w:t>
            </w:r>
            <w:r>
              <w:br/>
            </w:r>
            <w:r>
              <w:rPr>
                <w:b/>
                <w:bCs/>
              </w:rPr>
              <w:t xml:space="preserve">(Payment milestone 1: £36,000)</w:t>
            </w:r>
          </w:p>
        </w:tc>
      </w:tr>
      <w:tr>
        <w:tc>
          <w:tcPr/>
          <w:p>
            <w:pPr>
              <w:pStyle w:val="Compact"/>
            </w:pPr>
            <w:r>
              <w:t xml:space="preserve">14–16</w:t>
            </w:r>
          </w:p>
        </w:tc>
        <w:tc>
          <w:tcPr/>
          <w:p>
            <w:pPr>
              <w:pStyle w:val="Compact"/>
            </w:pPr>
            <w:r>
              <w:t xml:space="preserve">Phase 5: Revision</w:t>
            </w:r>
          </w:p>
        </w:tc>
        <w:tc>
          <w:tcPr/>
          <w:p>
            <w:pPr>
              <w:pStyle w:val="Compact"/>
            </w:pPr>
            <w:r>
              <w:t xml:space="preserve">Steering group feedback; revisions</w:t>
            </w:r>
          </w:p>
        </w:tc>
        <w:tc>
          <w:tcPr/>
          <w:p>
            <w:pPr>
              <w:pStyle w:val="Compact"/>
            </w:pPr>
            <w:r>
              <w:t xml:space="preserve">Revised report</w:t>
            </w:r>
          </w:p>
        </w:tc>
      </w:tr>
      <w:tr>
        <w:tc>
          <w:tcPr/>
          <w:p>
            <w:pPr>
              <w:pStyle w:val="Compact"/>
            </w:pPr>
            <w:r>
              <w:t xml:space="preserve">16–18</w:t>
            </w:r>
          </w:p>
        </w:tc>
        <w:tc>
          <w:tcPr/>
          <w:p>
            <w:pPr>
              <w:pStyle w:val="Compact"/>
            </w:pPr>
            <w:r>
              <w:t xml:space="preserve">Phase 6: Finalisation</w:t>
            </w:r>
          </w:p>
        </w:tc>
        <w:tc>
          <w:tcPr/>
          <w:p>
            <w:pPr>
              <w:pStyle w:val="Compact"/>
            </w:pPr>
            <w:r>
              <w:t xml:space="preserve">Final revisions; Board/SLT presentation</w:t>
            </w:r>
          </w:p>
        </w:tc>
        <w:tc>
          <w:tcPr/>
          <w:p>
            <w:pPr>
              <w:pStyle w:val="Compact"/>
            </w:pPr>
            <w:r>
              <w:rPr>
                <w:b/>
                <w:bCs/>
              </w:rPr>
              <w:t xml:space="preserve">Final report submitted</w:t>
            </w:r>
            <w:r>
              <w:br/>
            </w:r>
            <w:r>
              <w:rPr>
                <w:b/>
                <w:bCs/>
              </w:rPr>
              <w:t xml:space="preserve">(Payment milestone 2: £36,000)</w:t>
            </w:r>
          </w:p>
        </w:tc>
      </w:tr>
    </w:tbl>
    <w:bookmarkStart w:id="85" w:name="steering-group-engagement"/>
    <w:p>
      <w:pPr>
        <w:pStyle w:val="Heading3"/>
      </w:pPr>
      <w:r>
        <w:t xml:space="preserve">Steering Group Engagement</w:t>
      </w:r>
    </w:p>
    <w:p>
      <w:pPr>
        <w:pStyle w:val="Compact"/>
        <w:numPr>
          <w:ilvl w:val="0"/>
          <w:numId w:val="1024"/>
        </w:numPr>
      </w:pPr>
      <w:r>
        <w:rPr>
          <w:b/>
          <w:bCs/>
        </w:rPr>
        <w:t xml:space="preserve">Week 2:</w:t>
      </w:r>
      <w:r>
        <w:t xml:space="preserve"> </w:t>
      </w:r>
      <w:r>
        <w:t xml:space="preserve">Inception meeting — confirm methodology, survey design, stakeholder list</w:t>
      </w:r>
    </w:p>
    <w:p>
      <w:pPr>
        <w:pStyle w:val="Compact"/>
        <w:numPr>
          <w:ilvl w:val="0"/>
          <w:numId w:val="1024"/>
        </w:numPr>
      </w:pPr>
      <w:r>
        <w:rPr>
          <w:b/>
          <w:bCs/>
        </w:rPr>
        <w:t xml:space="preserve">Week 6:</w:t>
      </w:r>
      <w:r>
        <w:t xml:space="preserve"> </w:t>
      </w:r>
      <w:r>
        <w:t xml:space="preserve">Mid-point checkpoint — preliminary findings, emerging themes</w:t>
      </w:r>
    </w:p>
    <w:p>
      <w:pPr>
        <w:pStyle w:val="Compact"/>
        <w:numPr>
          <w:ilvl w:val="0"/>
          <w:numId w:val="1024"/>
        </w:numPr>
      </w:pPr>
      <w:r>
        <w:rPr>
          <w:b/>
          <w:bCs/>
        </w:rPr>
        <w:t xml:space="preserve">Week 10:</w:t>
      </w:r>
      <w:r>
        <w:t xml:space="preserve"> </w:t>
      </w:r>
      <w:r>
        <w:t xml:space="preserve">Recommendations workshop — test and validate draft recommendations</w:t>
      </w:r>
    </w:p>
    <w:p>
      <w:pPr>
        <w:pStyle w:val="Compact"/>
        <w:numPr>
          <w:ilvl w:val="0"/>
          <w:numId w:val="1024"/>
        </w:numPr>
      </w:pPr>
      <w:r>
        <w:rPr>
          <w:b/>
          <w:bCs/>
        </w:rPr>
        <w:t xml:space="preserve">Week 14:</w:t>
      </w:r>
      <w:r>
        <w:t xml:space="preserve"> </w:t>
      </w:r>
      <w:r>
        <w:t xml:space="preserve">Draft report review meeting</w:t>
      </w:r>
    </w:p>
    <w:p>
      <w:pPr>
        <w:pStyle w:val="Compact"/>
        <w:numPr>
          <w:ilvl w:val="0"/>
          <w:numId w:val="1024"/>
        </w:numPr>
      </w:pPr>
      <w:r>
        <w:rPr>
          <w:b/>
          <w:bCs/>
        </w:rPr>
        <w:t xml:space="preserve">Week 18:</w:t>
      </w:r>
      <w:r>
        <w:t xml:space="preserve"> </w:t>
      </w:r>
      <w:r>
        <w:t xml:space="preserve">Final presentation to Board/SLT</w:t>
      </w:r>
    </w:p>
    <w:bookmarkEnd w:id="85"/>
    <w:bookmarkEnd w:id="86"/>
    <w:bookmarkStart w:id="87" w:name="gdpr-compliance"/>
    <w:p>
      <w:pPr>
        <w:pStyle w:val="Heading2"/>
      </w:pPr>
      <w:r>
        <w:t xml:space="preserve">11. GDPR Compliance</w:t>
      </w:r>
    </w:p>
    <w:p>
      <w:pPr>
        <w:pStyle w:val="FirstParagraph"/>
      </w:pPr>
      <w:r>
        <w:t xml:space="preserve">Blue Canvas AI confirms full compliance with GDPR as enacted in both the UK and Ireland. As data processor under this contract:</w:t>
      </w:r>
    </w:p>
    <w:p>
      <w:pPr>
        <w:pStyle w:val="Compact"/>
        <w:numPr>
          <w:ilvl w:val="0"/>
          <w:numId w:val="1025"/>
        </w:numPr>
      </w:pPr>
      <w:r>
        <w:t xml:space="preserve">All personal data will be processed solely in accordance with InterTradeIreland's instructions</w:t>
      </w:r>
    </w:p>
    <w:p>
      <w:pPr>
        <w:pStyle w:val="Compact"/>
        <w:numPr>
          <w:ilvl w:val="0"/>
          <w:numId w:val="1025"/>
        </w:numPr>
      </w:pPr>
      <w:r>
        <w:t xml:space="preserve">Survey data will be collected with informed consent and clear privacy notices</w:t>
      </w:r>
    </w:p>
    <w:p>
      <w:pPr>
        <w:pStyle w:val="Compact"/>
        <w:numPr>
          <w:ilvl w:val="0"/>
          <w:numId w:val="1025"/>
        </w:numPr>
      </w:pPr>
      <w:r>
        <w:t xml:space="preserve">Data will be anonymised in all published outputs</w:t>
      </w:r>
    </w:p>
    <w:p>
      <w:pPr>
        <w:pStyle w:val="Compact"/>
        <w:numPr>
          <w:ilvl w:val="0"/>
          <w:numId w:val="1025"/>
        </w:numPr>
      </w:pPr>
      <w:r>
        <w:t xml:space="preserve">All personal data will be securely deleted at project completion, with written confirmation provided to InterTradeIreland</w:t>
      </w:r>
    </w:p>
    <w:p>
      <w:pPr>
        <w:pStyle w:val="Compact"/>
        <w:numPr>
          <w:ilvl w:val="0"/>
          <w:numId w:val="1025"/>
        </w:numPr>
      </w:pPr>
      <w:r>
        <w:t xml:space="preserve">Blue Canvas AI maintains appropriate technical and organisational measures for data security</w:t>
      </w:r>
    </w:p>
    <w:p>
      <w:pPr>
        <w:pStyle w:val="Compact"/>
        <w:numPr>
          <w:ilvl w:val="0"/>
          <w:numId w:val="1025"/>
        </w:numPr>
      </w:pPr>
      <w:r>
        <w:t xml:space="preserve">All subcontractors will be covered by appropriate data processing agreements</w:t>
      </w:r>
    </w:p>
    <w:bookmarkEnd w:id="87"/>
    <w:bookmarkStart w:id="90" w:name="appendix-e-vat-registration"/>
    <w:p>
      <w:pPr>
        <w:pStyle w:val="Heading2"/>
      </w:pPr>
      <w:r>
        <w:t xml:space="preserve">Appendix E: VAT Registration</w:t>
      </w:r>
    </w:p>
    <w:bookmarkStart w:id="88" w:name="part-1"/>
    <w:p>
      <w:pPr>
        <w:pStyle w:val="Heading3"/>
      </w:pPr>
      <w:r>
        <w:t xml:space="preserve">Part 1</w:t>
      </w:r>
    </w:p>
    <w:p>
      <w:pPr>
        <w:pStyle w:val="FirstParagraph"/>
      </w:pPr>
      <w:r>
        <w:t xml:space="preserve">Not applicable. Blue Canvas AI is currently below the VAT registration threshold.</w:t>
      </w:r>
    </w:p>
    <w:bookmarkEnd w:id="88"/>
    <w:bookmarkStart w:id="89" w:name="part-2"/>
    <w:p>
      <w:pPr>
        <w:pStyle w:val="Heading3"/>
      </w:pPr>
      <w:r>
        <w:t xml:space="preserve">Part 2</w:t>
      </w:r>
    </w:p>
    <w:p>
      <w:pPr>
        <w:pStyle w:val="FirstParagraph"/>
      </w:pPr>
      <w:r>
        <w:t xml:space="preserve">Blue Canvas AI (trading name of Phil Patterson, Sole Trader) is currently below the VAT registration threshold and is therefore not registered for VAT. Should VAT registration be obtained during the course of this contract, InterTradeIreland will be notified immediately and VAT will be applied in accordance with HMRC requirements.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Signed:</w:t>
            </w:r>
          </w:p>
        </w:tc>
        <w:tc>
          <w:tcPr/>
          <w:p>
            <w:pPr>
              <w:pStyle w:val="Compact"/>
            </w:pPr>
            <w:r>
              <w:t xml:space="preserve">Phil Patterson</w:t>
            </w:r>
          </w:p>
        </w:tc>
      </w:tr>
      <w:tr>
        <w:tc>
          <w:tcPr/>
          <w:p>
            <w:pPr>
              <w:pStyle w:val="Compact"/>
            </w:pPr>
            <w:r>
              <w:rPr>
                <w:b/>
                <w:bCs/>
              </w:rPr>
              <w:t xml:space="preserve">For and on behalf of:</w:t>
            </w:r>
          </w:p>
        </w:tc>
        <w:tc>
          <w:tcPr/>
          <w:p>
            <w:pPr>
              <w:pStyle w:val="Compact"/>
            </w:pPr>
            <w:r>
              <w:t xml:space="preserve">Blue Canvas AI</w:t>
            </w:r>
          </w:p>
        </w:tc>
      </w:tr>
      <w:tr>
        <w:tc>
          <w:tcPr/>
          <w:p>
            <w:pPr>
              <w:pStyle w:val="Compact"/>
            </w:pPr>
            <w:r>
              <w:rPr>
                <w:b/>
                <w:bCs/>
              </w:rPr>
              <w:t xml:space="preserve">Date:</w:t>
            </w:r>
          </w:p>
        </w:tc>
        <w:tc>
          <w:tcPr/>
          <w:p>
            <w:pPr>
              <w:pStyle w:val="Compact"/>
            </w:pPr>
            <w:r>
              <w:t xml:space="preserve">13 February 2026</w:t>
            </w:r>
          </w:p>
        </w:tc>
      </w:tr>
    </w:tbl>
    <w:bookmarkEnd w:id="89"/>
    <w:bookmarkEnd w:id="90"/>
    <w:bookmarkStart w:id="92" w:name="appendix-f-fair-employment-declaration"/>
    <w:p>
      <w:pPr>
        <w:pStyle w:val="Heading2"/>
      </w:pPr>
      <w:r>
        <w:t xml:space="preserve">Appendix F: Fair Employment Declaration</w:t>
      </w:r>
    </w:p>
    <w:bookmarkStart w:id="91" w:name="Xf3b05c4473ea6e86718754c5e100759826168c2"/>
    <w:p>
      <w:pPr>
        <w:pStyle w:val="Heading3"/>
      </w:pPr>
      <w:r>
        <w:t xml:space="preserve">Fair Employment and Treatment (Northern Ireland) Order 1998</w:t>
      </w:r>
    </w:p>
    <w:p>
      <w:pPr>
        <w:pStyle w:val="FirstParagraph"/>
      </w:pPr>
      <w:r>
        <w:t xml:space="preserve">I hereby declare that I am not unqualified for the purposes of the Fair Employment and Treatment (Northern Ireland) Order 1998.</w:t>
      </w:r>
    </w:p>
    <w:p>
      <w:pPr>
        <w:pStyle w:val="BodyText"/>
      </w:pPr>
      <w:r>
        <w:t xml:space="preserve">I undertake that no work shall be executed, or goods or services supplied by any unqualified person for the purposes of any contract with InterTradeIreland to which Article 64 of the Order applies.</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Signed by:</w:t>
            </w:r>
          </w:p>
        </w:tc>
        <w:tc>
          <w:tcPr/>
          <w:p>
            <w:pPr>
              <w:pStyle w:val="Compact"/>
            </w:pPr>
            <w:r>
              <w:t xml:space="preserve">Phil Patterson</w:t>
            </w:r>
          </w:p>
        </w:tc>
      </w:tr>
      <w:tr>
        <w:tc>
          <w:tcPr/>
          <w:p>
            <w:pPr>
              <w:pStyle w:val="Compact"/>
            </w:pPr>
            <w:r>
              <w:rPr>
                <w:b/>
                <w:bCs/>
              </w:rPr>
              <w:t xml:space="preserve">Duly authorised to sign for and on behalf of:</w:t>
            </w:r>
          </w:p>
        </w:tc>
        <w:tc>
          <w:tcPr/>
          <w:p>
            <w:pPr>
              <w:pStyle w:val="Compact"/>
            </w:pPr>
            <w:r>
              <w:t xml:space="preserve">Blue Canvas AI</w:t>
            </w:r>
          </w:p>
        </w:tc>
      </w:tr>
      <w:tr>
        <w:tc>
          <w:tcPr/>
          <w:p>
            <w:pPr>
              <w:pStyle w:val="Compact"/>
            </w:pPr>
            <w:r>
              <w:rPr>
                <w:b/>
                <w:bCs/>
              </w:rPr>
              <w:t xml:space="preserve">Date:</w:t>
            </w:r>
          </w:p>
        </w:tc>
        <w:tc>
          <w:tcPr/>
          <w:p>
            <w:pPr>
              <w:pStyle w:val="Compact"/>
            </w:pPr>
            <w:r>
              <w:t xml:space="preserve">13 February 2026</w:t>
            </w:r>
          </w:p>
        </w:tc>
      </w:tr>
    </w:tbl>
    <w:bookmarkEnd w:id="91"/>
    <w:bookmarkEnd w:id="92"/>
    <w:bookmarkStart w:id="93" w:name="Xce8b9c6cbc91d1f9e4dbb1bdee3d93f8fe628a7"/>
    <w:p>
      <w:pPr>
        <w:pStyle w:val="Heading2"/>
      </w:pPr>
      <w:r>
        <w:t xml:space="preserve">Appendix G: Certificate Relating to Bona Fide Tender</w:t>
      </w:r>
    </w:p>
    <w:p>
      <w:pPr>
        <w:pStyle w:val="Compact"/>
        <w:numPr>
          <w:ilvl w:val="0"/>
          <w:numId w:val="1026"/>
        </w:numPr>
      </w:pPr>
      <w:r>
        <w:t xml:space="preserve">The essence of tendering is that the client shall receive bona fide competitive tenders from all firms tendering. In recognition of this principle, we certify that this is a bona fide tender intended to be competitive and that we have not fixed or adjusted the amount of the tender by or under or in accordance with any agreement or arrangements with any other person.</w:t>
      </w:r>
    </w:p>
    <w:p>
      <w:pPr>
        <w:pStyle w:val="Compact"/>
        <w:numPr>
          <w:ilvl w:val="0"/>
          <w:numId w:val="1026"/>
        </w:numPr>
      </w:pPr>
      <w:r>
        <w:t xml:space="preserve">We also certify that we have not:</w:t>
      </w:r>
    </w:p>
    <w:p>
      <w:pPr>
        <w:pStyle w:val="Compact"/>
        <w:numPr>
          <w:ilvl w:val="1"/>
          <w:numId w:val="1027"/>
        </w:numPr>
      </w:pPr>
      <w:r>
        <w:t xml:space="preserve">Communicated to a person other than the person calling for these tenders the amount or approximate amount of the proposed tender, except where the disclosure, in confidence, of the approximate amount of the tender was necessary to obtain insurance premium quotations required for the preparation of this tender;</w:t>
      </w:r>
    </w:p>
    <w:p>
      <w:pPr>
        <w:pStyle w:val="Compact"/>
        <w:numPr>
          <w:ilvl w:val="1"/>
          <w:numId w:val="1027"/>
        </w:numPr>
      </w:pPr>
      <w:r>
        <w:t xml:space="preserve">Entered into any agreement or arrangement with any other person that he shall refrain from tendering or as to the amount of any tender to be submitted;</w:t>
      </w:r>
    </w:p>
    <w:p>
      <w:pPr>
        <w:pStyle w:val="Compact"/>
        <w:numPr>
          <w:ilvl w:val="1"/>
          <w:numId w:val="1027"/>
        </w:numPr>
      </w:pPr>
      <w:r>
        <w:t xml:space="preserve">Offered or paid or given or agreed to pay or give any sum of money or valuable consideration directly or indirectly to any person for doing or having done or causing or having caused to be done in relation to any other tender or proposed tender for the said work any act or thing of the sort described above.</w:t>
      </w:r>
    </w:p>
    <w:p>
      <w:pPr>
        <w:pStyle w:val="Compact"/>
        <w:numPr>
          <w:ilvl w:val="0"/>
          <w:numId w:val="1026"/>
        </w:numPr>
      </w:pPr>
      <w:r>
        <w:t xml:space="preserve">We undertake that we will not do any of the acts mentioned in paragraphs 2(a), 2(b) or 2(c) above at any time before the acceptance or rejection of this tender.</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Signed:</w:t>
            </w:r>
          </w:p>
        </w:tc>
        <w:tc>
          <w:tcPr/>
          <w:p>
            <w:pPr>
              <w:pStyle w:val="Compact"/>
            </w:pPr>
            <w:r>
              <w:t xml:space="preserve">Phil Patterson</w:t>
            </w:r>
          </w:p>
        </w:tc>
      </w:tr>
      <w:tr>
        <w:tc>
          <w:tcPr/>
          <w:p>
            <w:pPr>
              <w:pStyle w:val="Compact"/>
            </w:pPr>
            <w:r>
              <w:rPr>
                <w:b/>
                <w:bCs/>
              </w:rPr>
              <w:t xml:space="preserve">Name (block capitals):</w:t>
            </w:r>
          </w:p>
        </w:tc>
        <w:tc>
          <w:tcPr/>
          <w:p>
            <w:pPr>
              <w:pStyle w:val="Compact"/>
            </w:pPr>
            <w:r>
              <w:t xml:space="preserve">PHIL PATTERSON</w:t>
            </w:r>
          </w:p>
        </w:tc>
      </w:tr>
      <w:tr>
        <w:tc>
          <w:tcPr/>
          <w:p>
            <w:pPr>
              <w:pStyle w:val="Compact"/>
            </w:pPr>
            <w:r>
              <w:rPr>
                <w:b/>
                <w:bCs/>
              </w:rPr>
              <w:t xml:space="preserve">For and on behalf of:</w:t>
            </w:r>
          </w:p>
        </w:tc>
        <w:tc>
          <w:tcPr/>
          <w:p>
            <w:pPr>
              <w:pStyle w:val="Compact"/>
            </w:pPr>
            <w:r>
              <w:t xml:space="preserve">Blue Canvas AI</w:t>
            </w:r>
          </w:p>
        </w:tc>
      </w:tr>
      <w:tr>
        <w:tc>
          <w:tcPr/>
          <w:p>
            <w:pPr>
              <w:pStyle w:val="Compact"/>
            </w:pPr>
            <w:r>
              <w:rPr>
                <w:b/>
                <w:bCs/>
              </w:rPr>
              <w:t xml:space="preserve">Date:</w:t>
            </w:r>
          </w:p>
        </w:tc>
        <w:tc>
          <w:tcPr/>
          <w:p>
            <w:pPr>
              <w:pStyle w:val="Compact"/>
            </w:pPr>
            <w:r>
              <w:t xml:space="preserve">13 February 2026</w:t>
            </w:r>
          </w:p>
        </w:tc>
      </w:tr>
    </w:tbl>
    <w:bookmarkEnd w:id="93"/>
    <w:bookmarkStart w:id="94" w:name="X74b8c8e99e11d9fc1e1a69a42d8e988353b881c"/>
    <w:p>
      <w:pPr>
        <w:pStyle w:val="Heading2"/>
      </w:pPr>
      <w:r>
        <w:t xml:space="preserve">Appendix H: Tender Declaration — Conditions of Contract</w:t>
      </w:r>
    </w:p>
    <w:p>
      <w:pPr>
        <w:pStyle w:val="FirstParagraph"/>
      </w:pPr>
      <w:r>
        <w:rPr>
          <w:b/>
          <w:bCs/>
        </w:rPr>
        <w:t xml:space="preserve">Conditions of Contract for:</w:t>
      </w:r>
      <w:r>
        <w:t xml:space="preserve"> </w:t>
      </w:r>
      <w:r>
        <w:t xml:space="preserve">AI Adoption, Opportunities, and Impact for SMEs — Research Contract</w:t>
      </w:r>
    </w:p>
    <w:p>
      <w:pPr>
        <w:pStyle w:val="Compact"/>
        <w:numPr>
          <w:ilvl w:val="0"/>
          <w:numId w:val="1028"/>
        </w:numPr>
      </w:pPr>
      <w:r>
        <w:t xml:space="preserve">I the undersigned hereby tender for the above contract in accordance with the Conditions of Contract and Specification at the prices quoted in the Schedule forming part of my tender response.</w:t>
      </w:r>
    </w:p>
    <w:p>
      <w:pPr>
        <w:pStyle w:val="Compact"/>
        <w:numPr>
          <w:ilvl w:val="0"/>
          <w:numId w:val="1028"/>
        </w:numPr>
      </w:pPr>
      <w:r>
        <w:t xml:space="preserve">I declare there would be no conflict of interest or perceived conflict of interest in relation to the personnel or type of work involved in this contract.</w:t>
      </w:r>
    </w:p>
    <w:p>
      <w:pPr>
        <w:pStyle w:val="Compact"/>
        <w:numPr>
          <w:ilvl w:val="0"/>
          <w:numId w:val="1028"/>
        </w:numPr>
      </w:pPr>
      <w:r>
        <w:t xml:space="preserve">I agree that this Tender together with your written acceptance thereof shall constitute a binding contract between us in relation to the whole or such part of the Tender as may be specified in your written acceptance.</w:t>
      </w:r>
    </w:p>
    <w:p>
      <w:pPr>
        <w:pStyle w:val="Compact"/>
        <w:numPr>
          <w:ilvl w:val="0"/>
          <w:numId w:val="1028"/>
        </w:numPr>
      </w:pPr>
      <w:r>
        <w:t xml:space="preserve">I accept and agree to abide by the attached Conditions of Contract which take precedence over any terms, conditions, stipulations or provisos which may appear on or be annexed to any correspondence submitted by me in connection with this Contract.</w:t>
      </w:r>
    </w:p>
    <w:p>
      <w:pPr>
        <w:pStyle w:val="Compact"/>
        <w:numPr>
          <w:ilvl w:val="0"/>
          <w:numId w:val="1028"/>
        </w:numPr>
      </w:pPr>
      <w:r>
        <w:t xml:space="preserve">I understand that ITI does not bind itself to accept the lowest or any tender submitted in response to this enquiry and may accept the whole or part of any tender.</w:t>
      </w:r>
    </w:p>
    <w:p>
      <w:pPr>
        <w:pStyle w:val="Compact"/>
        <w:numPr>
          <w:ilvl w:val="0"/>
          <w:numId w:val="1028"/>
        </w:numPr>
      </w:pPr>
      <w:r>
        <w:t xml:space="preserve">I understand that the acceptance of any Tenders will be on the basis of the published evaluation criteria.</w:t>
      </w:r>
    </w:p>
    <w:p>
      <w:pPr>
        <w:pStyle w:val="Compact"/>
        <w:numPr>
          <w:ilvl w:val="0"/>
          <w:numId w:val="1028"/>
        </w:numPr>
      </w:pPr>
      <w:r>
        <w:t xml:space="preserve">I understand that the acceptance of this Tender does not bind ITI to place any orders under it and that the ITI may accept more than one Tender for the supply of the service covered by this Tender.</w:t>
      </w:r>
    </w:p>
    <w:p>
      <w:pPr>
        <w:pStyle w:val="Compact"/>
        <w:numPr>
          <w:ilvl w:val="0"/>
          <w:numId w:val="1028"/>
        </w:numPr>
      </w:pPr>
      <w:r>
        <w:t xml:space="preserve">I understand the ITI reserves the right to discontinue the award procedure in the event of irregular tenders or in the absence of appropriate tenders and in such circumstances may use the negotiated procedure without a further call for competition.</w:t>
      </w:r>
    </w:p>
    <w:p>
      <w:pPr>
        <w:pStyle w:val="Compact"/>
        <w:numPr>
          <w:ilvl w:val="0"/>
          <w:numId w:val="1028"/>
        </w:numPr>
      </w:pPr>
      <w:r>
        <w:t xml:space="preserve">I warrant that I have all the requisite authority to sign this tender.</w:t>
      </w:r>
    </w:p>
    <w:tbl>
      <w:tblPr>
        <w:tblStyle w:val="Table"/>
        <w:tblW w:type="auto" w:w="0"/>
        <w:tblLook w:firstRow="0" w:lastRow="0" w:firstColumn="0" w:lastColumn="0" w:noHBand="0" w:noVBand="0" w:val="0000"/>
      </w:tblPr>
      <w:tblGrid>
        <w:gridCol w:w="3960"/>
        <w:gridCol w:w="3960"/>
      </w:tblGrid>
      <w:tr>
        <w:tc>
          <w:tcPr/>
          <w:p>
            <w:pPr>
              <w:pStyle w:val="Compact"/>
            </w:pPr>
            <w:r>
              <w:rPr>
                <w:b/>
                <w:bCs/>
              </w:rPr>
              <w:t xml:space="preserve">Dated this</w:t>
            </w:r>
          </w:p>
        </w:tc>
        <w:tc>
          <w:tcPr/>
          <w:p>
            <w:pPr>
              <w:pStyle w:val="Compact"/>
            </w:pPr>
            <w:r>
              <w:t xml:space="preserve">13th day of February 2026</w:t>
            </w:r>
          </w:p>
        </w:tc>
      </w:tr>
      <w:tr>
        <w:tc>
          <w:tcPr/>
          <w:p>
            <w:pPr>
              <w:pStyle w:val="Compact"/>
            </w:pPr>
            <w:r>
              <w:rPr>
                <w:b/>
                <w:bCs/>
              </w:rPr>
              <w:t xml:space="preserve">Signed by or on behalf of the tenderer:</w:t>
            </w:r>
          </w:p>
        </w:tc>
        <w:tc>
          <w:tcPr/>
          <w:p>
            <w:pPr>
              <w:pStyle w:val="Compact"/>
            </w:pPr>
            <w:r>
              <w:t xml:space="preserve">Phil Patterson</w:t>
            </w:r>
          </w:p>
        </w:tc>
      </w:tr>
      <w:tr>
        <w:tc>
          <w:tcPr/>
          <w:p>
            <w:pPr>
              <w:pStyle w:val="Compact"/>
            </w:pPr>
            <w:r>
              <w:rPr>
                <w:b/>
                <w:bCs/>
              </w:rPr>
              <w:t xml:space="preserve">Name of tenderer:</w:t>
            </w:r>
          </w:p>
        </w:tc>
        <w:tc>
          <w:tcPr/>
          <w:p>
            <w:pPr>
              <w:pStyle w:val="Compact"/>
            </w:pPr>
            <w:r>
              <w:t xml:space="preserve">PHIL PATTERSON (trading as Blue Canvas AI)</w:t>
            </w:r>
          </w:p>
        </w:tc>
      </w:tr>
      <w:tr>
        <w:tc>
          <w:tcPr/>
          <w:p>
            <w:pPr>
              <w:pStyle w:val="Compact"/>
            </w:pPr>
            <w:r>
              <w:rPr>
                <w:b/>
                <w:bCs/>
              </w:rPr>
              <w:t xml:space="preserve">Address:</w:t>
            </w:r>
          </w:p>
        </w:tc>
        <w:tc>
          <w:tcPr/>
          <w:p>
            <w:pPr>
              <w:pStyle w:val="Compact"/>
            </w:pPr>
            <w:r>
              <w:t xml:space="preserve">20c Balliniska Road, Derry, Northern Ireland</w:t>
            </w:r>
          </w:p>
        </w:tc>
      </w:tr>
    </w:tbl>
    <w:bookmarkEnd w:id="94"/>
    <w:bookmarkStart w:id="95" w:name="signature-page"/>
    <w:p>
      <w:pPr>
        <w:pStyle w:val="Heading2"/>
      </w:pPr>
      <w:r>
        <w:t xml:space="preserve">Signature Page</w:t>
      </w:r>
    </w:p>
    <w:p>
      <w:pPr>
        <w:pStyle w:val="FirstParagraph"/>
      </w:pPr>
      <w:r>
        <w:t xml:space="preserve">This tender response is submitted by:</w:t>
      </w:r>
    </w:p>
    <w:p>
      <w:pPr>
        <w:pStyle w:val="BodyText"/>
      </w:pPr>
      <w:r>
        <w:t xml:space="preserve">Phil Patterson</w:t>
      </w:r>
    </w:p>
    <w:p>
      <w:pPr>
        <w:pStyle w:val="BodyText"/>
      </w:pPr>
      <w:r>
        <w:t xml:space="preserve">Founder &amp; Principal Consultant</w:t>
      </w:r>
    </w:p>
    <w:p>
      <w:pPr>
        <w:pStyle w:val="BodyText"/>
      </w:pPr>
      <w:r>
        <w:t xml:space="preserve">Blue Canvas AI</w:t>
      </w:r>
    </w:p>
    <w:p>
      <w:pPr>
        <w:pStyle w:val="BodyText"/>
      </w:pPr>
      <w:r>
        <w:t xml:space="preserve">20c Balliniska Road, Derry, Northern Ireland</w:t>
      </w:r>
    </w:p>
    <w:p>
      <w:pPr>
        <w:pStyle w:val="BodyText"/>
      </w:pPr>
      <w:r>
        <w:t xml:space="preserve">Signature: ________________________________________</w:t>
      </w:r>
    </w:p>
    <w:p>
      <w:pPr>
        <w:pStyle w:val="BodyText"/>
      </w:pPr>
      <w:r>
        <w:t xml:space="preserve">Date:</w:t>
      </w:r>
      <w:r>
        <w:t xml:space="preserve"> </w:t>
      </w:r>
      <w:r>
        <w:rPr>
          <w:b/>
          <w:bCs/>
        </w:rPr>
        <w:t xml:space="preserve">13 February 2026</w:t>
      </w:r>
    </w:p>
    <w:p>
      <w:pPr>
        <w:pStyle w:val="BodyText"/>
      </w:pPr>
      <w:r>
        <w:t xml:space="preserve">Blue Canvas AI • contact@bluecanvas.ai • +44 7828 699027 • bluecanvas.ai</w:t>
      </w:r>
    </w:p>
    <w:bookmarkEnd w:id="9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01">
    <w:nsid w:val="00A9970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Blue Canvas AI — Tender Response: AI Adoption, Opportunities, and Impact for SMEs</dc:title>
  <dc:creator/>
  <dc:language>en</dc:language>
  <cp:keywords/>
  <dcterms:created xsi:type="dcterms:W3CDTF">2026-02-13T10:25:59Z</dcterms:created>
  <dcterms:modified xsi:type="dcterms:W3CDTF">2026-02-13T10:25:59Z</dcterms:modified>
</cp:coreProperties>
</file>

<file path=docProps/custom.xml><?xml version="1.0" encoding="utf-8"?>
<Properties xmlns="http://schemas.openxmlformats.org/officeDocument/2006/custom-properties" xmlns:vt="http://schemas.openxmlformats.org/officeDocument/2006/docPropsVTypes"/>
</file>