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9a5b3613a9a3bb8137fe5dca78d8253fca455c4"/>
    <w:p>
      <w:pPr>
        <w:pStyle w:val="Heading1"/>
      </w:pPr>
      <w:r>
        <w:t xml:space="preserve">Expression of Interest: Business Explorer Programme — Industry Specialist Panel</w:t>
      </w:r>
    </w:p>
    <w:bookmarkStart w:id="9" w:name="applicant-details"/>
    <w:p>
      <w:pPr>
        <w:pStyle w:val="Heading2"/>
      </w:pPr>
      <w:r>
        <w:t xml:space="preserve">Applicant Details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Company</w:t>
            </w:r>
          </w:p>
        </w:tc>
        <w:tc>
          <w:tcPr/>
          <w:p>
            <w:pPr>
              <w:pStyle w:val="Compact"/>
            </w:pPr>
            <w:r>
              <w:t xml:space="preserve">Blue Canvas</w:t>
            </w:r>
          </w:p>
        </w:tc>
      </w:tr>
      <w:tr>
        <w:tc>
          <w:tcPr/>
          <w:p>
            <w:pPr>
              <w:pStyle w:val="Compact"/>
            </w:pPr>
            <w:r>
              <w:rPr>
                <w:b/>
                <w:bCs/>
              </w:rPr>
              <w:t xml:space="preserve">Contact</w:t>
            </w:r>
          </w:p>
        </w:tc>
        <w:tc>
          <w:tcPr/>
          <w:p>
            <w:pPr>
              <w:pStyle w:val="Compact"/>
            </w:pPr>
            <w:r>
              <w:t xml:space="preserve">Phil Patterson, Founder</w:t>
            </w:r>
          </w:p>
        </w:tc>
      </w:tr>
      <w:tr>
        <w:tc>
          <w:tcPr/>
          <w:p>
            <w:pPr>
              <w:pStyle w:val="Compact"/>
            </w:pPr>
            <w:r>
              <w:rPr>
                <w:b/>
                <w:bCs/>
              </w:rPr>
              <w:t xml:space="preserve">Address</w:t>
            </w:r>
          </w:p>
        </w:tc>
        <w:tc>
          <w:tcPr/>
          <w:p>
            <w:pPr>
              <w:pStyle w:val="Compact"/>
            </w:pPr>
            <w:r>
              <w:t xml:space="preserve">20c Balliniska Road, Londonderry, BT48 0NA</w:t>
            </w:r>
          </w:p>
        </w:tc>
      </w:tr>
      <w:tr>
        <w:tc>
          <w:tcPr/>
          <w:p>
            <w:pPr>
              <w:pStyle w:val="Compact"/>
            </w:pPr>
            <w:r>
              <w:rPr>
                <w:b/>
                <w:bCs/>
              </w:rPr>
              <w:t xml:space="preserve">Email</w:t>
            </w:r>
          </w:p>
        </w:tc>
        <w:tc>
          <w:tcPr/>
          <w:p>
            <w:pPr>
              <w:pStyle w:val="Compact"/>
            </w:pPr>
            <w:r>
              <w:t xml:space="preserve">contact@bluecanvas.ai</w:t>
            </w:r>
          </w:p>
        </w:tc>
      </w:tr>
      <w:tr>
        <w:tc>
          <w:tcPr/>
          <w:p>
            <w:pPr>
              <w:pStyle w:val="Compact"/>
            </w:pPr>
            <w:r>
              <w:rPr>
                <w:b/>
                <w:bCs/>
              </w:rPr>
              <w:t xml:space="preserve">Phone</w:t>
            </w:r>
          </w:p>
        </w:tc>
        <w:tc>
          <w:tcPr/>
          <w:p>
            <w:pPr>
              <w:pStyle w:val="Compact"/>
            </w:pPr>
            <w:r>
              <w:t xml:space="preserve">07935 217762</w:t>
            </w:r>
          </w:p>
        </w:tc>
      </w:tr>
      <w:tr>
        <w:tc>
          <w:tcPr/>
          <w:p>
            <w:pPr>
              <w:pStyle w:val="Compact"/>
            </w:pPr>
            <w:r>
              <w:rPr>
                <w:b/>
                <w:bCs/>
              </w:rPr>
              <w:t xml:space="preserve">Website</w:t>
            </w:r>
          </w:p>
        </w:tc>
        <w:tc>
          <w:tcPr/>
          <w:p>
            <w:pPr>
              <w:pStyle w:val="Compact"/>
            </w:pPr>
            <w:r>
              <w:t xml:space="preserve">bluecanvas.ai</w:t>
            </w:r>
          </w:p>
        </w:tc>
      </w:tr>
    </w:tbl>
    <w:p>
      <w:r>
        <w:pict>
          <v:rect style="width:0;height:1.5pt" o:hralign="center" o:hrstd="t" o:hr="t"/>
        </w:pict>
      </w:r>
    </w:p>
    <w:bookmarkEnd w:id="9"/>
    <w:bookmarkStart w:id="10" w:name="areas-of-specialism"/>
    <w:p>
      <w:pPr>
        <w:pStyle w:val="Heading2"/>
      </w:pPr>
      <w:r>
        <w:t xml:space="preserve">Areas of Specialism</w:t>
      </w:r>
    </w:p>
    <w:p>
      <w:pPr>
        <w:pStyle w:val="Compact"/>
        <w:numPr>
          <w:ilvl w:val="0"/>
          <w:numId w:val="1001"/>
        </w:numPr>
      </w:pPr>
      <w:r>
        <w:rPr>
          <w:b/>
          <w:bCs/>
        </w:rPr>
        <w:t xml:space="preserve">Artificial Intelligence</w:t>
      </w:r>
      <w:r>
        <w:t xml:space="preserve"> </w:t>
      </w:r>
      <w:r>
        <w:t xml:space="preserve">— AI strategy, tool selection, integration and deployment for SMEs</w:t>
      </w:r>
    </w:p>
    <w:p>
      <w:pPr>
        <w:pStyle w:val="Compact"/>
        <w:numPr>
          <w:ilvl w:val="0"/>
          <w:numId w:val="1001"/>
        </w:numPr>
      </w:pPr>
      <w:r>
        <w:rPr>
          <w:b/>
          <w:bCs/>
        </w:rPr>
        <w:t xml:space="preserve">Digitalisation</w:t>
      </w:r>
      <w:r>
        <w:t xml:space="preserve"> </w:t>
      </w:r>
      <w:r>
        <w:t xml:space="preserve">— Process digitalisation, workflow automation, digital transformation planning</w:t>
      </w:r>
    </w:p>
    <w:p>
      <w:pPr>
        <w:pStyle w:val="Compact"/>
        <w:numPr>
          <w:ilvl w:val="0"/>
          <w:numId w:val="1001"/>
        </w:numPr>
      </w:pPr>
      <w:r>
        <w:rPr>
          <w:b/>
          <w:bCs/>
        </w:rPr>
        <w:t xml:space="preserve">Data Analysis</w:t>
      </w:r>
      <w:r>
        <w:t xml:space="preserve"> </w:t>
      </w:r>
      <w:r>
        <w:t xml:space="preserve">— Data infrastructure, analytics pipelines, AI-driven insights</w:t>
      </w:r>
    </w:p>
    <w:bookmarkEnd w:id="10"/>
    <w:bookmarkStart w:id="11" w:name="about-blue-canvas"/>
    <w:p>
      <w:pPr>
        <w:pStyle w:val="Heading2"/>
      </w:pPr>
      <w:r>
        <w:t xml:space="preserve">About Blue Canvas</w:t>
      </w:r>
    </w:p>
    <w:p>
      <w:pPr>
        <w:pStyle w:val="FirstParagraph"/>
      </w:pPr>
      <w:r>
        <w:t xml:space="preserve">Blue Canvas is an AI consultancy based in Derry, Northern Ireland, focused exclusively on helping SMEs adopt AI and digital technologies in practical, measurable ways. We bridge the gap between what AI can theoretically do and what it actually delivers for businesses with real constraints — limited budgets, small teams, and no in-house data science capability.</w:t>
      </w:r>
    </w:p>
    <w:p>
      <w:pPr>
        <w:pStyle w:val="BodyText"/>
      </w:pPr>
      <w:r>
        <w:t xml:space="preserve">We are</w:t>
      </w:r>
      <w:r>
        <w:t xml:space="preserve"> </w:t>
      </w:r>
      <w:r>
        <w:rPr>
          <w:b/>
          <w:bCs/>
        </w:rPr>
        <w:t xml:space="preserve">Cyber Essentials certified</w:t>
      </w:r>
      <w:r>
        <w:t xml:space="preserve"> </w:t>
      </w:r>
      <w:r>
        <w:t xml:space="preserve">and currently progressing applications to Crown Commercial Service frameworks (RM6200 AI Dynamic Purchasing System and RM6173 Automation Marketplace), reflecting our commitment to operating at recognised public-sector standards.</w:t>
      </w:r>
    </w:p>
    <w:bookmarkEnd w:id="11"/>
    <w:bookmarkStart w:id="12" w:name="relevant-experience"/>
    <w:p>
      <w:pPr>
        <w:pStyle w:val="Heading2"/>
      </w:pPr>
      <w:r>
        <w:t xml:space="preserve">Relevant Experience</w:t>
      </w:r>
    </w:p>
    <w:p>
      <w:pPr>
        <w:pStyle w:val="FirstParagraph"/>
      </w:pPr>
      <w:r>
        <w:rPr>
          <w:b/>
          <w:bCs/>
        </w:rPr>
        <w:t xml:space="preserve">Wall Group (Construction)</w:t>
      </w:r>
      <w:r>
        <w:t xml:space="preserve"> </w:t>
      </w:r>
      <w:r>
        <w:t xml:space="preserve">— Designed and implemented AI-driven process automation for a construction firm, targeting operational workflows where manual effort was highest. Delivered measurable time savings and reduced error rates across document handling and project coordination.</w:t>
      </w:r>
    </w:p>
    <w:p>
      <w:pPr>
        <w:pStyle w:val="BodyText"/>
      </w:pPr>
      <w:r>
        <w:rPr>
          <w:b/>
          <w:bCs/>
        </w:rPr>
        <w:t xml:space="preserve">HIP Psychology (Healthcare)</w:t>
      </w:r>
      <w:r>
        <w:t xml:space="preserve"> </w:t>
      </w:r>
      <w:r>
        <w:t xml:space="preserve">— Developed a digitalisation strategy and AI integration plan for a healthcare practice, focusing on client management, reporting automation, and secure data handling within a regulated environment.</w:t>
      </w:r>
    </w:p>
    <w:p>
      <w:pPr>
        <w:pStyle w:val="BodyText"/>
      </w:pPr>
      <w:r>
        <w:t xml:space="preserve">These engagements reflect our core approach: understand the business problem first, then apply the right technology — not the other way around.</w:t>
      </w:r>
    </w:p>
    <w:bookmarkEnd w:id="12"/>
    <w:bookmarkStart w:id="13" w:name="existing-intertradeireland-relationship"/>
    <w:p>
      <w:pPr>
        <w:pStyle w:val="Heading2"/>
      </w:pPr>
      <w:r>
        <w:t xml:space="preserve">Existing InterTradeIreland Relationship</w:t>
      </w:r>
    </w:p>
    <w:p>
      <w:pPr>
        <w:pStyle w:val="FirstParagraph"/>
      </w:pPr>
      <w:r>
        <w:t xml:space="preserve">Blue Canvas has submitted a £72,000 tender to InterTradeIreland for AI for SMEs research, demonstrating our active engagement with ITI’s mission to drive cross-border innovation and our deep understanding of the SME landscape on this island.</w:t>
      </w:r>
    </w:p>
    <w:bookmarkEnd w:id="13"/>
    <w:bookmarkStart w:id="14" w:name="why-blue-canvas-for-business-explorer"/>
    <w:p>
      <w:pPr>
        <w:pStyle w:val="Heading2"/>
      </w:pPr>
      <w:r>
        <w:t xml:space="preserve">Why Blue Canvas for Business Explorer</w:t>
      </w:r>
    </w:p>
    <w:p>
      <w:pPr>
        <w:pStyle w:val="FirstParagraph"/>
      </w:pPr>
      <w:r>
        <w:rPr>
          <w:b/>
          <w:bCs/>
        </w:rPr>
        <w:t xml:space="preserve">Practical, not theoretical.</w:t>
      </w:r>
      <w:r>
        <w:t xml:space="preserve"> </w:t>
      </w:r>
      <w:r>
        <w:t xml:space="preserve">We implement. Our clients get working systems, not research papers. Every engagement starts with commercial reality — what will actually move the needle for this business?</w:t>
      </w:r>
    </w:p>
    <w:p>
      <w:pPr>
        <w:pStyle w:val="BodyText"/>
      </w:pPr>
      <w:r>
        <w:rPr>
          <w:b/>
          <w:bCs/>
        </w:rPr>
        <w:t xml:space="preserve">SME-native.</w:t>
      </w:r>
      <w:r>
        <w:t xml:space="preserve"> </w:t>
      </w:r>
      <w:r>
        <w:t xml:space="preserve">We work exclusively with SMEs. We understand the constraints, the pace, and the decision-making. We don’t need to</w:t>
      </w:r>
      <w:r>
        <w:t xml:space="preserve"> </w:t>
      </w:r>
      <w:r>
        <w:t xml:space="preserve">“translate”</w:t>
      </w:r>
      <w:r>
        <w:t xml:space="preserve"> </w:t>
      </w:r>
      <w:r>
        <w:t xml:space="preserve">enterprise approaches downward — we build for SMEs from the ground up.</w:t>
      </w:r>
    </w:p>
    <w:p>
      <w:pPr>
        <w:pStyle w:val="BodyText"/>
      </w:pPr>
      <w:r>
        <w:rPr>
          <w:b/>
          <w:bCs/>
        </w:rPr>
        <w:t xml:space="preserve">Cross-sector capability.</w:t>
      </w:r>
      <w:r>
        <w:t xml:space="preserve"> </w:t>
      </w:r>
      <w:r>
        <w:t xml:space="preserve">Our experience spans construction, healthcare, professional services, and manufacturing. AI and digitalisation challenges are often structurally similar across sectors; what differs is context. We’re skilled at rapid domain familiarisation and pragmatic solution design.</w:t>
      </w:r>
    </w:p>
    <w:p>
      <w:pPr>
        <w:pStyle w:val="BodyText"/>
      </w:pPr>
      <w:r>
        <w:rPr>
          <w:b/>
          <w:bCs/>
        </w:rPr>
        <w:t xml:space="preserve">Delivery-ready.</w:t>
      </w:r>
      <w:r>
        <w:t xml:space="preserve"> </w:t>
      </w:r>
      <w:r>
        <w:t xml:space="preserve">For the Explore phase (5-day engagement), we bring a proven rapid-assessment methodology: current-state mapping, opportunity identification, feasibility scoring, and a prioritised action plan — all within the programme timeframe.</w:t>
      </w:r>
    </w:p>
    <w:p>
      <w:pPr>
        <w:pStyle w:val="BodyText"/>
      </w:pPr>
      <w:r>
        <w:rPr>
          <w:b/>
          <w:bCs/>
        </w:rPr>
        <w:t xml:space="preserve">For the Plan phase</w:t>
      </w:r>
      <w:r>
        <w:t xml:space="preserve">, we deliver detailed implementation roadmaps including technology selection, integration architecture, cost-benefit analysis, and phased delivery plans that SMEs can actually execute.</w:t>
      </w:r>
    </w:p>
    <w:bookmarkEnd w:id="14"/>
    <w:bookmarkStart w:id="15" w:name="specialist-capabilities-summary"/>
    <w:p>
      <w:pPr>
        <w:pStyle w:val="Heading2"/>
      </w:pPr>
      <w:r>
        <w:t xml:space="preserve">Specialist Capabilities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Detail</w:t>
            </w:r>
          </w:p>
        </w:tc>
      </w:tr>
      <w:tr>
        <w:tc>
          <w:tcPr/>
          <w:p>
            <w:pPr>
              <w:pStyle w:val="Compact"/>
            </w:pPr>
            <w:r>
              <w:t xml:space="preserve">AI Automation</w:t>
            </w:r>
          </w:p>
        </w:tc>
        <w:tc>
          <w:tcPr/>
          <w:p>
            <w:pPr>
              <w:pStyle w:val="Compact"/>
            </w:pPr>
            <w:r>
              <w:t xml:space="preserve">Workflow automation, AI agents, document processing, decision support</w:t>
            </w:r>
          </w:p>
        </w:tc>
      </w:tr>
      <w:tr>
        <w:tc>
          <w:tcPr/>
          <w:p>
            <w:pPr>
              <w:pStyle w:val="Compact"/>
            </w:pPr>
            <w:r>
              <w:t xml:space="preserve">Process Digitalisation</w:t>
            </w:r>
          </w:p>
        </w:tc>
        <w:tc>
          <w:tcPr/>
          <w:p>
            <w:pPr>
              <w:pStyle w:val="Compact"/>
            </w:pPr>
            <w:r>
              <w:t xml:space="preserve">Paper-to-digital transformation, system integration, cloud migration planning</w:t>
            </w:r>
          </w:p>
        </w:tc>
      </w:tr>
      <w:tr>
        <w:tc>
          <w:tcPr/>
          <w:p>
            <w:pPr>
              <w:pStyle w:val="Compact"/>
            </w:pPr>
            <w:r>
              <w:t xml:space="preserve">AI Integration</w:t>
            </w:r>
          </w:p>
        </w:tc>
        <w:tc>
          <w:tcPr/>
          <w:p>
            <w:pPr>
              <w:pStyle w:val="Compact"/>
            </w:pPr>
            <w:r>
              <w:t xml:space="preserve">Embedding AI into existing tools and processes (CRM, ERP, operations)</w:t>
            </w:r>
          </w:p>
        </w:tc>
      </w:tr>
      <w:tr>
        <w:tc>
          <w:tcPr/>
          <w:p>
            <w:pPr>
              <w:pStyle w:val="Compact"/>
            </w:pPr>
            <w:r>
              <w:t xml:space="preserve">Data Analysis</w:t>
            </w:r>
          </w:p>
        </w:tc>
        <w:tc>
          <w:tcPr/>
          <w:p>
            <w:pPr>
              <w:pStyle w:val="Compact"/>
            </w:pPr>
            <w:r>
              <w:t xml:space="preserve">Data audit, pipeline design, dashboards, predictive analytics</w:t>
            </w:r>
          </w:p>
        </w:tc>
      </w:tr>
      <w:tr>
        <w:tc>
          <w:tcPr/>
          <w:p>
            <w:pPr>
              <w:pStyle w:val="Compact"/>
            </w:pPr>
            <w:r>
              <w:t xml:space="preserve">Strategy &amp; Planning</w:t>
            </w:r>
          </w:p>
        </w:tc>
        <w:tc>
          <w:tcPr/>
          <w:p>
            <w:pPr>
              <w:pStyle w:val="Compact"/>
            </w:pPr>
            <w:r>
              <w:t xml:space="preserve">AI readiness assessment, ROI modelling, implementation roadmaps</w:t>
            </w:r>
          </w:p>
        </w:tc>
      </w:tr>
    </w:tbl>
    <w:bookmarkEnd w:id="15"/>
    <w:bookmarkStart w:id="16" w:name="certifications-standards"/>
    <w:p>
      <w:pPr>
        <w:pStyle w:val="Heading2"/>
      </w:pPr>
      <w:r>
        <w:t xml:space="preserve">Certifications &amp; Standards</w:t>
      </w:r>
    </w:p>
    <w:p>
      <w:pPr>
        <w:pStyle w:val="Compact"/>
        <w:numPr>
          <w:ilvl w:val="0"/>
          <w:numId w:val="1002"/>
        </w:numPr>
      </w:pPr>
      <w:r>
        <w:t xml:space="preserve">Cyber Essentials certified</w:t>
      </w:r>
    </w:p>
    <w:p>
      <w:pPr>
        <w:pStyle w:val="Compact"/>
        <w:numPr>
          <w:ilvl w:val="0"/>
          <w:numId w:val="1002"/>
        </w:numPr>
      </w:pPr>
      <w:r>
        <w:t xml:space="preserve">CCS framework applications in progress (RM6200, RM6173)</w:t>
      </w:r>
    </w:p>
    <w:p>
      <w:r>
        <w:pict>
          <v:rect style="width:0;height:1.5pt" o:hralign="center" o:hrstd="t" o:hr="t"/>
        </w:pict>
      </w:r>
    </w:p>
    <w:p>
      <w:pPr>
        <w:pStyle w:val="FirstParagraph"/>
      </w:pPr>
      <w:r>
        <w:rPr>
          <w:i/>
          <w:iCs/>
        </w:rPr>
        <w:t xml:space="preserve">Blue Canvas is available for both Explore and Plan phase engagements across Northern Ireland and Ireland, with particular strength in supporting manufacturing and tradeable services businesses adopting AI and digital technologies for the first time.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2026-02-24T19:36:43Z</dcterms:created>
  <dcterms:modified xsi:type="dcterms:W3CDTF">2026-02-24T19:36:43Z</dcterms:modified>
</cp:coreProperties>
</file>

<file path=docProps/custom.xml><?xml version="1.0" encoding="utf-8"?>
<Properties xmlns="http://schemas.openxmlformats.org/officeDocument/2006/custom-properties" xmlns:vt="http://schemas.openxmlformats.org/officeDocument/2006/docPropsVTypes"/>
</file>