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10 trudnych, deterministycznych promptów</w:t>
        <w:br/>
        <w:t>z analizy danych</w:t>
      </w:r>
    </w:p>
    <w:p>
      <w:pPr>
        <w:jc w:val="center"/>
      </w:pPr>
      <w:r>
        <w:rPr>
          <w:i/>
          <w:color w:val="595959"/>
          <w:sz w:val="24"/>
        </w:rPr>
        <w:t>z przykładami na plikach Excel</w:t>
        <w:br/>
        <w:t>w tym 4 prompty z analizy finansowej</w:t>
      </w:r>
    </w:p>
    <w:p>
      <w:pPr>
        <w:jc w:val="center"/>
      </w:pPr>
      <w:r>
        <w:rPr>
          <w:sz w:val="22"/>
        </w:rPr>
        <w:t>Pakiet roboczy do ćwiczeń, testów i demonstracji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6F1"/>
          </w:tcPr>
          <w:p>
            <w:r>
              <w:rPr>
                <w:b/>
              </w:rPr>
              <w:t>Liczba promptów</w:t>
            </w:r>
          </w:p>
        </w:tc>
        <w:tc>
          <w:tcPr>
            <w:tcW w:type="dxa" w:w="5100"/>
            <w:vAlign w:val="center"/>
          </w:tcPr>
          <w:p>
            <w:r>
              <w:t>10</w:t>
            </w:r>
          </w:p>
        </w:tc>
      </w:tr>
      <w:tr>
        <w:tc>
          <w:tcPr>
            <w:tcW w:type="dxa" w:w="5100"/>
            <w:vAlign w:val="center"/>
            <w:shd w:fill="DCE6F1"/>
          </w:tcPr>
          <w:p>
            <w:r>
              <w:rPr>
                <w:b/>
              </w:rPr>
              <w:t>Pliki Excel</w:t>
            </w:r>
          </w:p>
        </w:tc>
        <w:tc>
          <w:tcPr>
            <w:tcW w:type="dxa" w:w="5100"/>
            <w:vAlign w:val="center"/>
          </w:tcPr>
          <w:p>
            <w:r>
              <w:t>10 osobnych workbooków z danymi syntetycznymi</w:t>
            </w:r>
          </w:p>
        </w:tc>
      </w:tr>
    </w:tbl>
    <w:p/>
    <w:p>
      <w:r>
        <w:rPr>
          <w:b/>
          <w:color w:val="2E75B6"/>
        </w:rPr>
        <w:t>Jak korzystać z pakietu</w:t>
      </w:r>
    </w:p>
    <w:p>
      <w:pPr>
        <w:pStyle w:val="ListBullet"/>
      </w:pPr>
      <w:r>
        <w:t>Każdy prompt jest zaprojektowany tak, aby ograniczać dowolność modelu i wymuszać powtarzalny wynik.</w:t>
      </w:r>
    </w:p>
    <w:p>
      <w:pPr>
        <w:pStyle w:val="ListBullet"/>
      </w:pPr>
      <w:r>
        <w:t>Każdy prompt odwołuje się do konkretnego pliku i jasno definiuje reguły liczenia, klasyfikacji, sortowania oraz format wyjścia.</w:t>
      </w:r>
    </w:p>
    <w:p>
      <w:pPr>
        <w:pStyle w:val="ListBullet"/>
      </w:pPr>
      <w:r>
        <w:t>Dane w plikach Excel są syntetyczne i przeznaczone do ćwiczeń warsztatowych.</w:t>
      </w:r>
    </w:p>
    <w:p/>
    <w:p>
      <w:r>
        <w:rPr>
          <w:b/>
          <w:color w:val="1F4E79"/>
          <w:sz w:val="28"/>
        </w:rPr>
        <w:t>Spis promptów i plików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Temat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Typ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Plik Excel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P01</w:t>
            </w:r>
          </w:p>
        </w:tc>
        <w:tc>
          <w:tcPr>
            <w:tcW w:type="dxa" w:w="2550"/>
            <w:vAlign w:val="center"/>
          </w:tcPr>
          <w:p>
            <w:r>
              <w:t>Sprzedaż: czyszczenie transakcji i marża</w:t>
            </w:r>
          </w:p>
        </w:tc>
        <w:tc>
          <w:tcPr>
            <w:tcW w:type="dxa" w:w="2550"/>
            <w:vAlign w:val="center"/>
          </w:tcPr>
          <w:p>
            <w:r>
              <w:t>Operacyjna / analityka sprzedaży</w:t>
            </w:r>
          </w:p>
        </w:tc>
        <w:tc>
          <w:tcPr>
            <w:tcW w:type="dxa" w:w="2550"/>
            <w:vAlign w:val="center"/>
          </w:tcPr>
          <w:p>
            <w:r>
              <w:t>01_Sprzedaz_czyszczenie_i_marza.xlsx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P02</w:t>
            </w:r>
          </w:p>
        </w:tc>
        <w:tc>
          <w:tcPr>
            <w:tcW w:type="dxa" w:w="2550"/>
            <w:vAlign w:val="center"/>
          </w:tcPr>
          <w:p>
            <w:r>
              <w:t>Churn: segmentacja klientów i scoring ryzyka</w:t>
            </w:r>
          </w:p>
        </w:tc>
        <w:tc>
          <w:tcPr>
            <w:tcW w:type="dxa" w:w="2550"/>
            <w:vAlign w:val="center"/>
          </w:tcPr>
          <w:p>
            <w:r>
              <w:t>Operacyjna / SaaS / customer success</w:t>
            </w:r>
          </w:p>
        </w:tc>
        <w:tc>
          <w:tcPr>
            <w:tcW w:type="dxa" w:w="2550"/>
            <w:vAlign w:val="center"/>
          </w:tcPr>
          <w:p>
            <w:r>
              <w:t>02_Churn_segmentacja_klientow.xlsx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P03</w:t>
            </w:r>
          </w:p>
        </w:tc>
        <w:tc>
          <w:tcPr>
            <w:tcW w:type="dxa" w:w="2550"/>
            <w:vAlign w:val="center"/>
          </w:tcPr>
          <w:p>
            <w:r>
              <w:t>Magazyn: reorder point i wielkość zamówienia</w:t>
            </w:r>
          </w:p>
        </w:tc>
        <w:tc>
          <w:tcPr>
            <w:tcW w:type="dxa" w:w="2550"/>
            <w:vAlign w:val="center"/>
          </w:tcPr>
          <w:p>
            <w:r>
              <w:t>Operacyjna / supply chain</w:t>
            </w:r>
          </w:p>
        </w:tc>
        <w:tc>
          <w:tcPr>
            <w:tcW w:type="dxa" w:w="2550"/>
            <w:vAlign w:val="center"/>
          </w:tcPr>
          <w:p>
            <w:r>
              <w:t>03_Magazyn_reorder_i_rotacja.xlsx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P04</w:t>
            </w:r>
          </w:p>
        </w:tc>
        <w:tc>
          <w:tcPr>
            <w:tcW w:type="dxa" w:w="2550"/>
            <w:vAlign w:val="center"/>
          </w:tcPr>
          <w:p>
            <w:r>
              <w:t>Obsługa klienta: breach rate SLA</w:t>
            </w:r>
          </w:p>
        </w:tc>
        <w:tc>
          <w:tcPr>
            <w:tcW w:type="dxa" w:w="2550"/>
            <w:vAlign w:val="center"/>
          </w:tcPr>
          <w:p>
            <w:r>
              <w:t>Operacyjna / customer support</w:t>
            </w:r>
          </w:p>
        </w:tc>
        <w:tc>
          <w:tcPr>
            <w:tcW w:type="dxa" w:w="2550"/>
            <w:vAlign w:val="center"/>
          </w:tcPr>
          <w:p>
            <w:r>
              <w:t>04_SLA_ticketow_i_breaches.xlsx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P05</w:t>
            </w:r>
          </w:p>
        </w:tc>
        <w:tc>
          <w:tcPr>
            <w:tcW w:type="dxa" w:w="2550"/>
            <w:vAlign w:val="center"/>
          </w:tcPr>
          <w:p>
            <w:r>
              <w:t>Marketing: analiza lejka i ROAS</w:t>
            </w:r>
          </w:p>
        </w:tc>
        <w:tc>
          <w:tcPr>
            <w:tcW w:type="dxa" w:w="2550"/>
            <w:vAlign w:val="center"/>
          </w:tcPr>
          <w:p>
            <w:r>
              <w:t>Operacyjna / marketing</w:t>
            </w:r>
          </w:p>
        </w:tc>
        <w:tc>
          <w:tcPr>
            <w:tcW w:type="dxa" w:w="2550"/>
            <w:vAlign w:val="center"/>
          </w:tcPr>
          <w:p>
            <w:r>
              <w:t>05_Marketing_funnel_i_ROAS.xlsx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P06</w:t>
            </w:r>
          </w:p>
        </w:tc>
        <w:tc>
          <w:tcPr>
            <w:tcW w:type="dxa" w:w="2550"/>
            <w:vAlign w:val="center"/>
          </w:tcPr>
          <w:p>
            <w:r>
              <w:t>HR: absencje i nadgodziny</w:t>
            </w:r>
          </w:p>
        </w:tc>
        <w:tc>
          <w:tcPr>
            <w:tcW w:type="dxa" w:w="2550"/>
            <w:vAlign w:val="center"/>
          </w:tcPr>
          <w:p>
            <w:r>
              <w:t>Operacyjna / HR analytics</w:t>
            </w:r>
          </w:p>
        </w:tc>
        <w:tc>
          <w:tcPr>
            <w:tcW w:type="dxa" w:w="2550"/>
            <w:vAlign w:val="center"/>
          </w:tcPr>
          <w:p>
            <w:r>
              <w:t>06_HR_absencje_i_nadgodziny.xlsx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P07</w:t>
            </w:r>
          </w:p>
        </w:tc>
        <w:tc>
          <w:tcPr>
            <w:tcW w:type="dxa" w:w="2550"/>
            <w:vAlign w:val="center"/>
          </w:tcPr>
          <w:p>
            <w:r>
              <w:t>Finanse: P&amp;L budget vs actual</w:t>
            </w:r>
          </w:p>
        </w:tc>
        <w:tc>
          <w:tcPr>
            <w:tcW w:type="dxa" w:w="2550"/>
            <w:vAlign w:val="center"/>
          </w:tcPr>
          <w:p>
            <w:r>
              <w:t>Analiza finansowa</w:t>
            </w:r>
          </w:p>
        </w:tc>
        <w:tc>
          <w:tcPr>
            <w:tcW w:type="dxa" w:w="2550"/>
            <w:vAlign w:val="center"/>
          </w:tcPr>
          <w:p>
            <w:r>
              <w:t>07_Finanse_PnL_budget_vs_actual.xlsx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P08</w:t>
            </w:r>
          </w:p>
        </w:tc>
        <w:tc>
          <w:tcPr>
            <w:tcW w:type="dxa" w:w="2550"/>
            <w:vAlign w:val="center"/>
          </w:tcPr>
          <w:p>
            <w:r>
              <w:t>Finanse: 13-tygodniowy cash flow</w:t>
            </w:r>
          </w:p>
        </w:tc>
        <w:tc>
          <w:tcPr>
            <w:tcW w:type="dxa" w:w="2550"/>
            <w:vAlign w:val="center"/>
          </w:tcPr>
          <w:p>
            <w:r>
              <w:t>Analiza finansowa</w:t>
            </w:r>
          </w:p>
        </w:tc>
        <w:tc>
          <w:tcPr>
            <w:tcW w:type="dxa" w:w="2550"/>
            <w:vAlign w:val="center"/>
          </w:tcPr>
          <w:p>
            <w:r>
              <w:t>08_Finanse_Cash_Flow_13_tygodni.xlsx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P09</w:t>
            </w:r>
          </w:p>
        </w:tc>
        <w:tc>
          <w:tcPr>
            <w:tcW w:type="dxa" w:w="2550"/>
            <w:vAlign w:val="center"/>
          </w:tcPr>
          <w:p>
            <w:r>
              <w:t>Finanse: AR aging i DSO</w:t>
            </w:r>
          </w:p>
        </w:tc>
        <w:tc>
          <w:tcPr>
            <w:tcW w:type="dxa" w:w="2550"/>
            <w:vAlign w:val="center"/>
          </w:tcPr>
          <w:p>
            <w:r>
              <w:t>Analiza finansowa</w:t>
            </w:r>
          </w:p>
        </w:tc>
        <w:tc>
          <w:tcPr>
            <w:tcW w:type="dxa" w:w="2550"/>
            <w:vAlign w:val="center"/>
          </w:tcPr>
          <w:p>
            <w:r>
              <w:t>09_Finanse_AR_aging_i_DSO.xlsx</w:t>
            </w:r>
          </w:p>
        </w:tc>
      </w:tr>
      <w:tr>
        <w:tc>
          <w:tcPr>
            <w:tcW w:type="dxa" w:w="2550"/>
            <w:shd w:fill="EAF2F8"/>
            <w:vAlign w:val="center"/>
          </w:tcPr>
          <w:p>
            <w:r>
              <w:t>P10</w:t>
            </w:r>
          </w:p>
        </w:tc>
        <w:tc>
          <w:tcPr>
            <w:tcW w:type="dxa" w:w="2550"/>
            <w:vAlign w:val="center"/>
          </w:tcPr>
          <w:p>
            <w:r>
              <w:t>Finanse: rentowność klientów</w:t>
            </w:r>
          </w:p>
        </w:tc>
        <w:tc>
          <w:tcPr>
            <w:tcW w:type="dxa" w:w="2550"/>
            <w:vAlign w:val="center"/>
          </w:tcPr>
          <w:p>
            <w:r>
              <w:t>Analiza finansowa</w:t>
            </w:r>
          </w:p>
        </w:tc>
        <w:tc>
          <w:tcPr>
            <w:tcW w:type="dxa" w:w="2550"/>
            <w:vAlign w:val="center"/>
          </w:tcPr>
          <w:p>
            <w:r>
              <w:t>10_Finanse_Rentownosc_klientow.xlsx</w:t>
            </w:r>
          </w:p>
        </w:tc>
      </w:tr>
    </w:tbl>
    <w:p>
      <w:r>
        <w:br w:type="page"/>
      </w:r>
    </w:p>
    <w:p>
      <w:r>
        <w:rPr>
          <w:b/>
          <w:color w:val="1F4E79"/>
          <w:sz w:val="30"/>
        </w:rPr>
        <w:t>P01  Sprzedaż: czyszczenie transakcji i marża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Operacyjna / analityka sprzedaży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01_Sprzedaz_czyszczenie_i_marza.xlsx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Usunięcie duplikatów, obsługa zwrotów i policzenie marży brutto oraz anomalii rabatowych.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KPI zbiorcze, 2) Top 10 SKU po marży brutto, 3) tabela anomalii.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wyłącznie na pliku Excel `01_Sprzedaz_czyszczenie_i_marza.xlsx`, arkusz `Transakcje`.</w:t>
              <w:br/>
              <w:t>Wykonaj analizę deterministycznie i bez domysłów.</w:t>
              <w:br/>
              <w:br/>
              <w:t>Zasady przygotowania danych:</w:t>
              <w:br/>
              <w:t>1. Za duplikat uznaj rekord o tym samym `Order_ID` i `SKU`. Jeżeli występują duplikaty, zostaw tylko rekord z najnowszym `Loaded_At`.</w:t>
              <w:br/>
              <w:t>2. Usuń wszystkie rekordy, w których `Status = Cancelled`.</w:t>
              <w:br/>
              <w:t>3. Jeżeli `Return_Flag = Y`, przelicz `Qty` jako ujemne.</w:t>
              <w:br/>
              <w:t>4. Policz:</w:t>
              <w:br/>
              <w:t xml:space="preserve">   - `Revenue_Net = Qty * Unit_Price * (1 - Discount_Pct)`</w:t>
              <w:br/>
              <w:t xml:space="preserve">   - `COGS_Total = Qty * COGS_Unit`</w:t>
              <w:br/>
              <w:t xml:space="preserve">   - `Gross_Margin = Revenue_Net - COGS_Total`</w:t>
              <w:br/>
              <w:t xml:space="preserve">   - `Gross_Margin_Pct = Gross_Margin / Revenue_Net`, ale tylko gdy `Revenue_Net != 0`.</w:t>
              <w:br/>
              <w:t>5. Oznacz rekord jako anomalię, jeśli:</w:t>
              <w:br/>
              <w:t xml:space="preserve">   - `Discount_Pct &gt; 0.20`, lub</w:t>
              <w:br/>
              <w:t xml:space="preserve">   - `Gross_Margin &lt; 0`.</w:t>
              <w:br/>
              <w:br/>
              <w:t>Zwróć wynik dokładnie w 3 sekcjach:</w:t>
              <w:br/>
              <w:t>SEKCJA A: tabela KPI z kolumnami `Metric`, `Value`</w:t>
              <w:br/>
              <w:t>SEKCJA B: tabela `Top_10_SKU_By_Gross_Margin` z kolumnami `SKU`, `Category`, `Revenue_Net`, `Gross_Margin`, `Gross_Margin_Pct`</w:t>
              <w:br/>
              <w:t>SEKCJA C: tabela `Anomalies` z kolumnami `Order_ID`, `SKU`, `Discount_Pct`, `Revenue_Net`, `Gross_Margin`, `Anomaly_Reason`</w:t>
              <w:br/>
              <w:br/>
              <w:t>Nie dopisuj rekomendacji. Jeżeli jakiejś wartości nie da się policzyć, wpisz `NA` i wyjaśnij to tylko w sekcji `QA_NOTES` na końcu.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P02  Churn: segmentacja klientów i scoring ryzyka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Operacyjna / SaaS / customer success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02_Churn_segmentacja_klientow.xlsx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Zbudowanie w pełni jawnego scoringu ryzyka odejścia klienta.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tabela scoringowa, 2) podsumowanie per segment, 3) lista klientów high risk.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tylko na pliku `02_Churn_segmentacja_klientow.xlsx`, arkusz `Klienci`.</w:t>
              <w:br/>
              <w:t>Policz deterministyczny churn risk score w skali 0-100 według poniższych reguł:</w:t>
              <w:br/>
              <w:br/>
              <w:t>Punkty:</w:t>
              <w:br/>
              <w:t>- +35 punktów, jeśli `Last_Activity_Date` jest starsza niż 60 dni względem 2026-04-13</w:t>
              <w:br/>
              <w:t>- +20 punktów, jeśli `NPS &lt;= 6`</w:t>
              <w:br/>
              <w:t>- +15 punktów, jeśli `Tickets_90d &gt;= 4`</w:t>
              <w:br/>
              <w:t>- +20 punktów, jeśli `Usage_Last_30d &lt; 0.7 * Usage_Prev_30d`</w:t>
              <w:br/>
              <w:t>- +10 punktów, jeśli `Renewal_Date` przypada w ciągu 45 dni od 2026-04-13</w:t>
              <w:br/>
              <w:br/>
              <w:t>Następnie przypisz klasę:</w:t>
              <w:br/>
              <w:t>- `High` dla score &gt;= 60</w:t>
              <w:br/>
              <w:t>- `Medium` dla score od 30 do 59</w:t>
              <w:br/>
              <w:t>- `Low` dla score &lt; 30</w:t>
              <w:br/>
              <w:br/>
              <w:t>Zwróć dokładnie:</w:t>
              <w:br/>
              <w:t>SEKCJA A: tabela `Customer_Scoring` z kolumnami `Customer_ID`, `Segment`, `MRR`, `Risk_Score`, `Risk_Class`, `Risk_Drivers`</w:t>
              <w:br/>
              <w:t>SEKCJA B: tabela `Segment_Summary` z kolumnami `Segment`, `Customers`, `High_Risk_Customers`, `High_Risk_MRR`, `Avg_Risk_Score`</w:t>
              <w:br/>
              <w:t>SEKCJA C: tabela `Call_Now_List` zawierającą tylko klientów `High`, posortowaną malejąco po `MRR`</w:t>
              <w:br/>
              <w:br/>
              <w:t>Nie używaj żadnego modelowania statystycznego ani prognoz. Tylko reguły powyżej.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P03  Magazyn: reorder point i wielkość zamówienia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Operacyjna / supply chain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03_Magazyn_reorder_i_rotacja.xlsx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Wyliczenie reorder point i ilości do zamówienia w oparciu o 8 tygodni popytu.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lista SKU do zamówienia, 2) ranking ryzyka braków, 3) wartość planowanego zakupu.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wyłącznie na pliku `03_Magazyn_reorder_i_rotacja.xlsx`, arkusz `SKU`.</w:t>
              <w:br/>
              <w:br/>
              <w:t>Dla każdego SKU policz:</w:t>
              <w:br/>
              <w:t>1. `Avg_Weekly_Sales` = średnia z kolumn `Week_1` do `Week_8`</w:t>
              <w:br/>
              <w:t>2. `Lead_Time_Weeks` = `Lead_Time_Days / 7`</w:t>
              <w:br/>
              <w:t>3. `Base_Reorder_Point` = `Avg_Weekly_Sales * Lead_Time_Weeks`</w:t>
              <w:br/>
              <w:t>4. `Safety_Stock` = `0.20 * Base_Reorder_Point`</w:t>
              <w:br/>
              <w:t>5. `Reorder_Point` = `Base_Reorder_Point + Safety_Stock`</w:t>
              <w:br/>
              <w:t>6. `Available_Stock` = `Current_Stock + On_Order`</w:t>
              <w:br/>
              <w:t>7. Jeśli `Available_Stock &lt; Reorder_Point`, policz:</w:t>
              <w:br/>
              <w:t xml:space="preserve">   - `Raw_Order_Qty = Reorder_Point - Available_Stock`</w:t>
              <w:br/>
              <w:t xml:space="preserve">   - `Order_Qty = zaokrąglenie w górę do wielokrotności Min_Order_Qty`</w:t>
              <w:br/>
              <w:t xml:space="preserve">   - `Order_Value = Order_Qty * Unit_Cost`</w:t>
              <w:br/>
              <w:br/>
              <w:t>Zwróć:</w:t>
              <w:br/>
              <w:t>SEKCJA A: `Reorder_List` z kolumnami `SKU`, `Supplier`, `Current_Stock`, `On_Order`, `Reorder_Point`, `Order_Qty`, `Order_Value`</w:t>
              <w:br/>
              <w:t>SEKCJA B: `Stockout_Risk_Ranking` z kolumnami `SKU`, `Available_Stock`, `Avg_Weekly_Sales`, `Weeks_Of_Cover`</w:t>
              <w:br/>
              <w:t>SEKCJA C: `Purchase_Summary` z kolumnami `Metric`, `Value`</w:t>
              <w:br/>
              <w:br/>
              <w:t>Sortowanie:</w:t>
              <w:br/>
              <w:t>- w sekcji A malejąco po `Order_Value`</w:t>
              <w:br/>
              <w:t>- w sekcji B rosnąco po `Weeks_Of_Cover`</w:t>
              <w:br/>
              <w:br/>
              <w:t>Bez komentarzy strategicznych.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P04  Obsługa klienta: breach rate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Operacyjna / customer support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04_SLA_ticketow_i_breaches.xlsx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Ocena zgodności z SLA na poziomie ticketów, zespołów i agentów.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KPI SLA, 2) breach per team, 3) top agenci z naruszeniami.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na pliku `04_SLA_ticketow_i_breaches.xlsx`.</w:t>
              <w:br/>
              <w:t>Użyj arkusza `Tickety` oraz progów z arkusza `Progi_SLA`.</w:t>
              <w:br/>
              <w:br/>
              <w:t>Dla każdego ticketu:</w:t>
              <w:br/>
              <w:t>1. Pobierz progi `Max_First_Response_Hours` i `Max_Resolution_Hours` według `Priority`.</w:t>
              <w:br/>
              <w:t>2. Oznacz:</w:t>
              <w:br/>
              <w:t xml:space="preserve">   - `First_Response_Breach = 1`, jeśli `First_Response_Hours &gt; Max_First_Response_Hours`, inaczej 0</w:t>
              <w:br/>
              <w:t xml:space="preserve">   - `Resolution_Breach = 1`, jeśli `Resolution_Hours &gt; Max_Resolution_Hours`, inaczej 0</w:t>
              <w:br/>
              <w:t xml:space="preserve">   - `Any_Breach = 1`, jeśli którykolwiek z powyższych = 1</w:t>
              <w:br/>
              <w:br/>
              <w:t>Zwróć dokładnie:</w:t>
              <w:br/>
              <w:t>SEKCJA A: `SLA_KPI` z kolumnami `Metric`, `Value`</w:t>
              <w:br/>
              <w:t>SEKCJA B: `Breach_By_Team` z kolumnami `Team`, `Tickets`, `Any_Breach_Count`, `Any_Breach_Rate`, `Avg_First_Response_Hours`, `Avg_Resolution_Hours`</w:t>
              <w:br/>
              <w:t>SEKCJA C: `Coaching_List` z kolumnami `Agent`, `Tickets`, `Any_Breach_Count`, `CSAT_Avg`, `Reopened_Rate`</w:t>
              <w:br/>
              <w:br/>
              <w:t>Dodatkowe reguły:</w:t>
              <w:br/>
              <w:t>- `Reopened_Rate = liczba ticketów z Reopened_Flag = Y / liczba ticketów agenta`</w:t>
              <w:br/>
              <w:t>- sekcja C ma zawierać tylko agentów z minimum 5 ticketami</w:t>
              <w:br/>
              <w:t>- posortuj sekcję C malejąco po `Any_Breach_Count`, a potem rosnąco po `CSAT_Avg`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P05  Marketing: analiza lejka i ROAS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Operacyjna / marketing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05_Marketing_funnel_i_ROAS.xlsx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Porównanie jakości kampanii na całym lejku oraz selekcja kampanii do skalowania i wyłączenia.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ranking kampanii, 2) podsumowanie per kanał, 3) czerwone flagi.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wyłącznie na pliku `05_Marketing_funnel_i_ROAS.xlsx`, arkusz `Kampanie`.</w:t>
              <w:br/>
              <w:br/>
              <w:t>Policz dla każdej kampanii:</w:t>
              <w:br/>
              <w:t>- `CTR = Clicks / Impressions`</w:t>
              <w:br/>
              <w:t>- `Click_to_Lead = Leads / Clicks`</w:t>
              <w:br/>
              <w:t>- `Lead_to_Opp = Opportunities / Leads`</w:t>
              <w:br/>
              <w:t>- `Opp_to_Win = Won_Deals / Opportunities`</w:t>
              <w:br/>
              <w:t>- `CPA = Spend / Won_Deals`, gdy `Won_Deals &gt; 0`, inaczej `NA`</w:t>
              <w:br/>
              <w:t>- `ROAS = Revenue_Attributed / Spend`</w:t>
              <w:br/>
              <w:br/>
              <w:t>Przypisz status:</w:t>
              <w:br/>
              <w:t>- `Scale` jeśli `ROAS &gt;= 3` i `CPA &lt;= 6000`</w:t>
              <w:br/>
              <w:t>- `Fix` jeśli `ROAS` jest między 1 a 2.99 lub `CPA` jest między 6001 a 12000</w:t>
              <w:br/>
              <w:t>- `Stop` jeśli `ROAS &lt; 1` lub `Won_Deals = 0`</w:t>
              <w:br/>
              <w:br/>
              <w:t>Zwróć:</w:t>
              <w:br/>
              <w:t>SEKCJA A: `Campaign_Ranking` z kolumnami `Campaign_ID`, `Channel`, `Audience`, `Spend`, `Revenue_Attributed`, `ROAS`, `CPA`, `Status`</w:t>
              <w:br/>
              <w:t>SEKCJA B: `Channel_Summary` z kolumnami `Channel`, `Spend`, `Revenue_Attributed`, `Leads`, `Won_Deals`, `ROAS`</w:t>
              <w:br/>
              <w:t>SEKCJA C: `Red_Flags` zawierającą tylko rekordy ze statusem `Stop`</w:t>
              <w:br/>
              <w:br/>
              <w:t>Nie dopisuj żadnych kreatywnych rekomendacji marketingowych.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P06  HR: absencje i nadgodziny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Operacyjna / HR analytics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06_HR_absencje_i_nadgodziny.xlsx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Wskazanie przeciążonych zespołów i pracowników o podwyższonym ryzyku.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KPI działów, 2) ranking zespołów ryzyka, 3) lista pracowników do interwencji.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wyłącznie na pliku `06_HR_absencje_i_nadgodziny.xlsx`, arkusz `Pracownicy`.</w:t>
              <w:br/>
              <w:br/>
              <w:t>Policz:</w:t>
              <w:br/>
              <w:t>- `Absence_Rate = Absence_Days / 22`</w:t>
              <w:br/>
              <w:t>- `Overtime_Rate = Overtime_Hours / Monthly_Hours`</w:t>
              <w:br/>
              <w:br/>
              <w:t>Definicje flag:</w:t>
              <w:br/>
              <w:t>- `High_Overtime = 1`, jeśli `Overtime_Rate &gt;= 0.15`</w:t>
              <w:br/>
              <w:t>- `High_Absence = 1`, jeśli `Absence_Rate &gt;= 0.10`</w:t>
              <w:br/>
              <w:t>- `At_Risk_Employee = 1`, jeśli `High_Overtime = 1` i `Performance_Rating &lt;= 3`</w:t>
              <w:br/>
              <w:br/>
              <w:t>Zwróć:</w:t>
              <w:br/>
              <w:t>SEKCJA A: `Department_KPI` z kolumnami `Department`, `Employees`, `Avg_Overtime_Rate`, `Avg_Absence_Rate`, `At_Risk_Employees`</w:t>
              <w:br/>
              <w:t>SEKCJA B: `Team_Risk_Ranking` z kolumnami `Team`, `Employees`, `High_Overtime_Count`, `High_Absence_Count`, `At_Risk_Employees`</w:t>
              <w:br/>
              <w:t>SEKCJA C: `Intervention_List` z kolumnami `Employee_ID`, `Department`, `Team`, `Overtime_Rate`, `Absence_Rate`, `Performance_Rating`, `Tenure_Months`</w:t>
              <w:br/>
              <w:br/>
              <w:t>Sortowanie:</w:t>
              <w:br/>
              <w:t>- sekcja B malejąco po `At_Risk_Employees`, potem po `High_Overtime_Count`</w:t>
              <w:br/>
              <w:t>- sekcja C malejąco po `Overtime_Rate`</w:t>
              <w:br/>
              <w:br/>
              <w:t>Bez ocen moralnych i bez polityki HR. Tylko analiza.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P07  Finanse: P&amp;L budget vs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Analiza finansowa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07_Finanse_PnL_budget_vs_actual.xlsx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Policzenie odchyleń dla kluczowych pozycji P&amp;L oraz materialnych czerwonych flag.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tabela P&amp;L z variance, 2) ranking działów po EBITDA variance, 3) czerwone flagi.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wyłącznie na pliku `07_Finanse_PnL_budget_vs_actual.xlsx`, arkusz `PnL`.</w:t>
              <w:br/>
              <w:br/>
              <w:t>Dla każdego wiersza policz:</w:t>
              <w:br/>
              <w:t>- `Gross_Profit_Budget = Revenue_Budget - COGS_Budget`</w:t>
              <w:br/>
              <w:t>- `Gross_Profit_Actual = Revenue_Actual - COGS_Actual`</w:t>
              <w:br/>
              <w:t>- `EBITDA_Budget = Gross_Profit_Budget - Opex_Budget`</w:t>
              <w:br/>
              <w:t>- `EBITDA_Actual = Gross_Profit_Actual - Opex_Actual`</w:t>
              <w:br/>
              <w:br/>
              <w:t>Następnie dla pozycji `Revenue`, `COGS`, `Gross_Profit`, `Opex`, `EBITDA` policz:</w:t>
              <w:br/>
              <w:t>- `Variance_Abs = Actual - Budget`</w:t>
              <w:br/>
              <w:t>- `Variance_Pct = (Actual - Budget) / Budget`, tylko gdy `Budget != 0`</w:t>
              <w:br/>
              <w:t>- `Material_Flag = 1`, jeśli `ABS(Variance_Abs) &gt; 20000` oraz `ABS(Variance_Pct) &gt; 0.10`, inaczej 0</w:t>
              <w:br/>
              <w:br/>
              <w:t>Zwróć:</w:t>
              <w:br/>
              <w:t>SEKCJA A: `PnL_Variance` z kolumnami `Month`, `Department`, `Metric`, `Budget`, `Actual`, `Variance_Abs`, `Variance_Pct`, `Material_Flag`</w:t>
              <w:br/>
              <w:t>SEKCJA B: `EBITDA_Department_Ranking` z kolumnami `Department`, `EBITDA_Budget`, `EBITDA_Actual`, `Variance_Abs`, `Variance_Pct`</w:t>
              <w:br/>
              <w:t>SEKCJA C: `Material_Red_Flags` tylko dla rekordów z `Material_Flag = 1`</w:t>
              <w:br/>
              <w:br/>
              <w:t>Nie twórz narracji CFO. Zwróć liczby i flagi.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P08  Finanse: 13-tygodniowy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Analiza finansowa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08_Finanse_Cash_Flow_13_tygodni.xlsx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Ocena płynności i wskazanie tygodni alarmowych oraz głównych driverów odpływu gotówki.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cash flow per tydzień, 2) alarmowe tygodnie, 3) ranking odpływów.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na pliku `08_Finanse_Cash_Flow_13_tygodni.xlsx`.</w:t>
              <w:br/>
              <w:t>Użyj arkusza `CashFlow` oraz progów z arkusza `Parametry`.</w:t>
              <w:br/>
              <w:br/>
              <w:t>Dla każdego tygodnia policz:</w:t>
              <w:br/>
              <w:t>- `Inflows = Collections + New_Sales_Cash`</w:t>
              <w:br/>
              <w:t>- `Outflows = Payroll + Suppliers + Rent + Tax + Capex + Debt_Service`</w:t>
              <w:br/>
              <w:t>- `Net_Cash_Flow = Inflows - Outflows`</w:t>
              <w:br/>
              <w:t>- `Closing_Cash = Opening_Cash + Net_Cash_Flow`</w:t>
              <w:br/>
              <w:br/>
              <w:t>Dodatkowe flagi:</w:t>
              <w:br/>
              <w:t>- `Below_Min = 1`, jeśli `Closing_Cash &lt; Min_Cash_Threshold`</w:t>
              <w:br/>
              <w:t>- `Below_Warning = 1`, jeśli `Closing_Cash &lt; Warning_Cash_Threshold`</w:t>
              <w:br/>
              <w:br/>
              <w:t>Zwróć:</w:t>
              <w:br/>
              <w:t>SEKCJA A: `Weekly_Cash_Flow` z kolumnami `Week_Start`, `Opening_Cash`, `Inflows`, `Outflows`, `Net_Cash_Flow`, `Closing_Cash`, `Below_Warning`, `Below_Min`</w:t>
              <w:br/>
              <w:t>SEKCJA B: `Alert_Weeks` tylko dla tygodni z `Below_Warning = 1`</w:t>
              <w:br/>
              <w:t>SEKCJA C: `Top_Outflow_Drivers` z kolumnami `Driver`, `Total_Amount`, gdzie driverami są `Payroll`, `Suppliers`, `Rent`, `Tax`, `Capex`, `Debt_Service`</w:t>
              <w:br/>
              <w:br/>
              <w:t>W sekcji C posortuj malejąco po `Total_Amount`. Nie proponuj finansowania ani działań naprawczych.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P09  Finanse: AR aging i DSO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Analiza finansowa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09_Finanse_AR_aging_i_DSO.xlsx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Wyliczenie aging bucketów, DSO i priorytetów windykacyjnych.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aging per klient, 2) lista do kolekcji, 3) KPI bucketów.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tylko na pliku `09_Finanse_AR_aging_i_DSO.xlsx`.</w:t>
              <w:br/>
              <w:t>Użyj arkuszy `Faktury`, `Sprzedaz_90D` i `Data_Referencyjna`.</w:t>
              <w:br/>
              <w:br/>
              <w:t>Reguły:</w:t>
              <w:br/>
              <w:t>1. Weź tylko faktury, gdzie `Status = Open`.</w:t>
              <w:br/>
              <w:t>2. `Days_Past_Due = As_Of_Date - Due_Date`</w:t>
              <w:br/>
              <w:t>3. Bucket:</w:t>
              <w:br/>
              <w:t xml:space="preserve">   - `0-30` dla `Days_Past_Due &lt;= 30`</w:t>
              <w:br/>
              <w:t xml:space="preserve">   - `31-60` dla `31-60`</w:t>
              <w:br/>
              <w:t xml:space="preserve">   - `61-90` dla `61-90`</w:t>
              <w:br/>
              <w:t xml:space="preserve">   - `90+` dla `&gt; 90`</w:t>
              <w:br/>
              <w:t>4. Dla każdego klienta policz:</w:t>
              <w:br/>
              <w:t xml:space="preserve">   - `Open_Receivables`</w:t>
              <w:br/>
              <w:t xml:space="preserve">   - sumę należności w każdym buckecie</w:t>
              <w:br/>
              <w:t xml:space="preserve">   - `DSO = Open_Receivables / Sales_Last_90_Days * 90`</w:t>
              <w:br/>
              <w:t>5. `Collection_Priority = High`, jeśli klient ma dowolną kwotę w buckecie `90+` lub `DSO &gt; 60`; `Medium`, jeśli `DSO` między 45 a 60; inaczej `Low`.</w:t>
              <w:br/>
              <w:br/>
              <w:t>Zwróć:</w:t>
              <w:br/>
              <w:t>SEKCJA A: `Customer_Aging` z kolumnami `Customer`, `Open_Receivables`, `Bucket_0_30`, `Bucket_31_60`, `Bucket_61_90`, `Bucket_90_plus`, `DSO`, `Collection_Priority`</w:t>
              <w:br/>
              <w:t>SEKCJA B: `Collection_List` tylko dla `Collection_Priority = High`</w:t>
              <w:br/>
              <w:t>SEKCJA C: `Aging_KPI` z kolumnami `Metric`, `Value`</w:t>
              <w:br/>
              <w:br/>
              <w:t>Nie mieszaj faktur opłaconych z otwartymi.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p>
      <w:r>
        <w:br w:type="page"/>
      </w:r>
    </w:p>
    <w:p>
      <w:r>
        <w:rPr>
          <w:b/>
          <w:color w:val="1F4E79"/>
          <w:sz w:val="30"/>
        </w:rPr>
        <w:t>P10  Finanse: rentowność klientów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5100"/>
            <w:vAlign w:val="center"/>
          </w:tcPr>
          <w:p>
            <w:r>
              <w:t>Analiza finansowa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Plik</w:t>
            </w:r>
          </w:p>
        </w:tc>
        <w:tc>
          <w:tcPr>
            <w:tcW w:type="dxa" w:w="5100"/>
            <w:vAlign w:val="center"/>
          </w:tcPr>
          <w:p>
            <w:r>
              <w:t>10_Finanse_Rentownosc_klientow.xlsx</w:t>
            </w:r>
          </w:p>
        </w:tc>
      </w:tr>
      <w:tr>
        <w:tc>
          <w:tcPr>
            <w:tcW w:type="dxa" w:w="5100"/>
            <w:shd w:fill="DCE6F1"/>
            <w:vAlign w:val="center"/>
          </w:tcPr>
          <w:p>
            <w:r>
              <w:rPr>
                <w:b/>
              </w:rPr>
              <w:t>Cel</w:t>
            </w:r>
          </w:p>
        </w:tc>
        <w:tc>
          <w:tcPr>
            <w:tcW w:type="dxa" w:w="5100"/>
            <w:vAlign w:val="center"/>
          </w:tcPr>
          <w:p>
            <w:r>
              <w:t>Ocena zysku brutto i wkładu netto klienta z dodatkową flagą ryzyka kredytowego.</w:t>
            </w:r>
          </w:p>
        </w:tc>
      </w:tr>
    </w:tbl>
    <w:p>
      <w:r>
        <w:rPr>
          <w:b/>
          <w:color w:val="2E75B6"/>
        </w:rPr>
        <w:t xml:space="preserve">Co ma zwrócić model: </w:t>
      </w:r>
      <w:r>
        <w:t>1) tabela klientów z rentownością, 2) top/bottom 10, 3) podsumowanie per kanał.</w:t>
      </w:r>
    </w:p>
    <w:p>
      <w:r>
        <w:rPr>
          <w:b/>
          <w:color w:val="2E75B6"/>
        </w:rPr>
        <w:t>Prompt do wklejenia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Pracujesz wyłącznie na pliku `10_Finanse_Rentownosc_klientow.xlsx`, arkusz `Klienci_Produkty`.</w:t>
              <w:br/>
              <w:br/>
              <w:t>Dla każdego klienta policz:</w:t>
              <w:br/>
              <w:t>- `Gross_Profit = Revenue - COGS - Discounts`</w:t>
              <w:br/>
              <w:t>- `Net_Contribution = Gross_Profit - Service_Cost - Returns_Cost`</w:t>
              <w:br/>
              <w:t>- `Gross_Margin_Pct = Gross_Profit / Revenue`</w:t>
              <w:br/>
              <w:t>- `Net_Contribution_Pct = Net_Contribution / Revenue`</w:t>
              <w:br/>
              <w:t>- `Credit_Risk_Flag = 1`, jeśli `Invoices_Past_Due &gt;= 3`, inaczej 0</w:t>
              <w:br/>
              <w:br/>
              <w:t>Klasyfikacja:</w:t>
              <w:br/>
              <w:t>- `Profitable` jeśli `Net_Contribution &gt; 0`</w:t>
              <w:br/>
              <w:t>- `Unprofitable` jeśli `Net_Contribution &lt;= 0`</w:t>
              <w:br/>
              <w:br/>
              <w:t>Zwróć:</w:t>
              <w:br/>
              <w:t>SEKCJA A: `Customer_Profitability` z kolumnami `Customer`, `Channel`, `Product_Line`, `Revenue`, `Gross_Profit`, `Net_Contribution`, `Gross_Margin_Pct`, `Net_Contribution_Pct`, `Credit_Risk_Flag`, `Class`</w:t>
              <w:br/>
              <w:t>SEKCJA B: `Top_Bottom_10` z kolumnami `Customer`, `Net_Contribution`, `Class` i rozdzieleniem na 10 najwyższych i 10 najniższych wyników</w:t>
              <w:br/>
              <w:t>SEKCJA C: `Channel_Summary` z kolumnami `Channel`, `Revenue`, `Gross_Profit`, `Net_Contribution`, `Avg_Net_Contribution_Pct`, `Credit_Risk_Customers`</w:t>
              <w:br/>
              <w:br/>
              <w:t>Nie agreguj klientów o tej samej nazwie z innymi rekordami poza standardowym grupowaniem po `Customer`.</w:t>
            </w:r>
          </w:p>
        </w:tc>
      </w:tr>
    </w:tbl>
    <w:p>
      <w:r>
        <w:rPr>
          <w:b/>
          <w:color w:val="2E75B6"/>
        </w:rPr>
        <w:t>Dlaczego prompt jest deterministyczny</w:t>
      </w:r>
    </w:p>
    <w:p>
      <w:pPr>
        <w:pStyle w:val="ListBullet"/>
      </w:pPr>
      <w:r>
        <w:t>definiuje źródło danych i arkusz(e),</w:t>
      </w:r>
    </w:p>
    <w:p>
      <w:pPr>
        <w:pStyle w:val="ListBullet"/>
      </w:pPr>
      <w:r>
        <w:t>podaje jawne wzory i progi,</w:t>
      </w:r>
    </w:p>
    <w:p>
      <w:pPr>
        <w:pStyle w:val="ListBullet"/>
      </w:pPr>
      <w:r>
        <w:t>precyzuje klasyfikacje i flagi,</w:t>
      </w:r>
    </w:p>
    <w:p>
      <w:pPr>
        <w:pStyle w:val="ListBullet"/>
      </w:pPr>
      <w:r>
        <w:t>narzuca dokładny format wyjściowy.</w:t>
      </w:r>
    </w:p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