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2603B"/>
          <w:sz w:val="44"/>
        </w:rPr>
        <w:t>Tabele robocze i checklisty - wersja rozszerzona</w:t>
      </w:r>
    </w:p>
    <w:p>
      <w:pPr>
        <w:jc w:val="center"/>
      </w:pPr>
      <w:r>
        <w:rPr>
          <w:i/>
          <w:color w:val="5A5A5A"/>
          <w:sz w:val="22"/>
        </w:rPr>
        <w:t>Materiały pomocnicze do pracy z pełnym pakietem promptów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5156"/>
            <w:vAlign w:val="center"/>
            <w:shd w:fill="42603B"/>
          </w:tcPr>
          <w:p>
            <w:r>
              <w:rPr>
                <w:b/>
                <w:color w:val="FFFFFF"/>
                <w:sz w:val="20"/>
              </w:rPr>
              <w:t>Zakres pakietu</w:t>
            </w:r>
          </w:p>
        </w:tc>
        <w:tc>
          <w:tcPr>
            <w:tcW w:type="dxa" w:w="5156"/>
            <w:vAlign w:val="center"/>
            <w:shd w:fill="EEF3F8"/>
          </w:tcPr>
          <w:p>
            <w:r>
              <w:rPr>
                <w:color w:val="323232"/>
                <w:sz w:val="20"/>
              </w:rPr>
              <w:t>Checklisty modułowe • tabela śledzenia promptów • karta obserwacji jakości • karta wdrożeniowa</w:t>
            </w:r>
          </w:p>
        </w:tc>
      </w:tr>
    </w:tbl>
    <w:p/>
    <w:p>
      <w:r>
        <w:t>To operacyjny dokument roboczy. Służy do planowania zajęć, wyboru promptów, oznaczania poziomu trudności, kontroli jakości odpowiedzi oraz zapisywania obserwacji po ćwiczeniach.</w:t>
      </w:r>
    </w:p>
    <w:p>
      <w:r>
        <w:t>Układ jest celowo prosty i warsztatowy, aby można go było łatwo wydrukować albo wykorzystać jako bazę do pracy z klientem.</w:t>
      </w:r>
    </w:p>
    <w:p>
      <w:r>
        <w:rPr>
          <w:b/>
        </w:rPr>
        <w:t xml:space="preserve">Sposób użycia: </w:t>
      </w:r>
      <w:r>
        <w:t>Każdy mikropodpunkt zawiera 6 promptów. Możesz je kopiować 1:1 lub traktować jako szablony do szybkiego dostrojenia pod branżę, poziom uczestników i format ćwiczenia.</w:t>
      </w:r>
    </w:p>
    <w:p>
      <w:r>
        <w:br w:type="page"/>
      </w:r>
    </w:p>
    <w:p>
      <w:pPr>
        <w:pStyle w:val="Heading1"/>
      </w:pPr>
      <w:r>
        <w:t>1. Matryca śledzenia wykorzystania promptów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42603B"/>
          </w:tcPr>
          <w:p>
            <w:r>
              <w:rPr>
                <w:b/>
                <w:color w:val="FFFFFF"/>
              </w:rPr>
              <w:t>Moduł</w:t>
            </w:r>
          </w:p>
        </w:tc>
        <w:tc>
          <w:tcPr>
            <w:tcW w:type="dxa" w:w="1719"/>
            <w:shd w:fill="42603B"/>
          </w:tcPr>
          <w:p>
            <w:r>
              <w:rPr>
                <w:b/>
                <w:color w:val="FFFFFF"/>
              </w:rPr>
              <w:t>Podpunkt</w:t>
            </w:r>
          </w:p>
        </w:tc>
        <w:tc>
          <w:tcPr>
            <w:tcW w:type="dxa" w:w="1719"/>
            <w:shd w:fill="42603B"/>
          </w:tcPr>
          <w:p>
            <w:r>
              <w:rPr>
                <w:b/>
                <w:color w:val="FFFFFF"/>
              </w:rPr>
              <w:t>Typ zestawu</w:t>
            </w:r>
          </w:p>
        </w:tc>
        <w:tc>
          <w:tcPr>
            <w:tcW w:type="dxa" w:w="1719"/>
            <w:shd w:fill="42603B"/>
          </w:tcPr>
          <w:p>
            <w:r>
              <w:rPr>
                <w:b/>
                <w:color w:val="FFFFFF"/>
              </w:rPr>
              <w:t>Cel użycia</w:t>
            </w:r>
          </w:p>
        </w:tc>
        <w:tc>
          <w:tcPr>
            <w:tcW w:type="dxa" w:w="1719"/>
            <w:shd w:fill="42603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19"/>
            <w:shd w:fill="42603B"/>
          </w:tcPr>
          <w:p>
            <w:r>
              <w:rPr>
                <w:b/>
                <w:color w:val="FFFFFF"/>
              </w:rPr>
              <w:t>Uwagi</w:t>
            </w:r>
          </w:p>
        </w:tc>
      </w:tr>
      <w:tr>
        <w:tc>
          <w:tcPr>
            <w:tcW w:type="dxa" w:w="1719"/>
          </w:tcPr>
          <w:p>
            <w:r>
              <w:t>Wprowadzenie do AI w biznesie</w:t>
            </w:r>
          </w:p>
        </w:tc>
        <w:tc>
          <w:tcPr>
            <w:tcW w:type="dxa" w:w="1719"/>
          </w:tcPr>
          <w:p>
            <w:r>
              <w:t>Historia i rozwój sztucznej inteligencji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Wprowadzenie do AI w biznesie</w:t>
            </w:r>
          </w:p>
        </w:tc>
        <w:tc>
          <w:tcPr>
            <w:tcW w:type="dxa" w:w="1719"/>
          </w:tcPr>
          <w:p>
            <w:r>
              <w:t>Co to jest ChatGPT? Omówienie AI i jego możliwości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Wprowadzenie do AI w biznesie</w:t>
            </w:r>
          </w:p>
        </w:tc>
        <w:tc>
          <w:tcPr>
            <w:tcW w:type="dxa" w:w="1719"/>
          </w:tcPr>
          <w:p>
            <w:r>
              <w:t>Wprowadzenie do LLM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Wprowadzenie do AI w biznesie</w:t>
            </w:r>
          </w:p>
        </w:tc>
        <w:tc>
          <w:tcPr>
            <w:tcW w:type="dxa" w:w="1719"/>
          </w:tcPr>
          <w:p>
            <w:r>
              <w:t>Ograniczenia i wyzwania współczesnych LLM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Podstawy AI i uczenia maszynowego</w:t>
            </w:r>
          </w:p>
        </w:tc>
        <w:tc>
          <w:tcPr>
            <w:tcW w:type="dxa" w:w="1719"/>
          </w:tcPr>
          <w:p>
            <w:r>
              <w:t>Miary jakości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Podstawy AI i uczenia maszynowego</w:t>
            </w:r>
          </w:p>
        </w:tc>
        <w:tc>
          <w:tcPr>
            <w:tcW w:type="dxa" w:w="1719"/>
          </w:tcPr>
          <w:p>
            <w:r>
              <w:t>Natural Language Processing (NLP)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Podstawy AI i uczenia maszynowego</w:t>
            </w:r>
          </w:p>
        </w:tc>
        <w:tc>
          <w:tcPr>
            <w:tcW w:type="dxa" w:w="1719"/>
          </w:tcPr>
          <w:p>
            <w:r>
              <w:t>Przegląd interfejsu użytkownika ChatGPT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Podstawy AI i uczenia maszynowego</w:t>
            </w:r>
          </w:p>
        </w:tc>
        <w:tc>
          <w:tcPr>
            <w:tcW w:type="dxa" w:w="1719"/>
          </w:tcPr>
          <w:p>
            <w:r>
              <w:t>Tokeny – jak wygenerować oraz czym jest przestrzeń tokenów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Prompt engineering</w:t>
            </w:r>
          </w:p>
        </w:tc>
        <w:tc>
          <w:tcPr>
            <w:tcW w:type="dxa" w:w="1719"/>
          </w:tcPr>
          <w:p>
            <w:r>
              <w:t>Dlaczego prompt engineering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Prompt engineering</w:t>
            </w:r>
          </w:p>
        </w:tc>
        <w:tc>
          <w:tcPr>
            <w:tcW w:type="dxa" w:w="1719"/>
          </w:tcPr>
          <w:p>
            <w:r>
              <w:t>Przekształć AI w eksperta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Prompt engineering</w:t>
            </w:r>
          </w:p>
        </w:tc>
        <w:tc>
          <w:tcPr>
            <w:tcW w:type="dxa" w:w="1719"/>
          </w:tcPr>
          <w:p>
            <w:r>
              <w:t>Ustal ramy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Prompt engineering</w:t>
            </w:r>
          </w:p>
        </w:tc>
        <w:tc>
          <w:tcPr>
            <w:tcW w:type="dxa" w:w="1719"/>
          </w:tcPr>
          <w:p>
            <w:r>
              <w:t>Określ format, temperaturę, ton i styl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Prompt engineering</w:t>
            </w:r>
          </w:p>
        </w:tc>
        <w:tc>
          <w:tcPr>
            <w:tcW w:type="dxa" w:w="1719"/>
          </w:tcPr>
          <w:p>
            <w:r>
              <w:t>5 porad, aby uzyskać lepsze odpowiedzi od ChatGPT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Integracje z innymi modelami AI i usługami</w:t>
            </w:r>
          </w:p>
        </w:tc>
        <w:tc>
          <w:tcPr>
            <w:tcW w:type="dxa" w:w="1719"/>
          </w:tcPr>
          <w:p>
            <w:r>
              <w:t>DALL-E (generowanie obrazów)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Integracje z innymi modelami AI i usługami</w:t>
            </w:r>
          </w:p>
        </w:tc>
        <w:tc>
          <w:tcPr>
            <w:tcW w:type="dxa" w:w="1719"/>
          </w:tcPr>
          <w:p>
            <w:r>
              <w:t>Whisper (mowa)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Integracje z innymi modelami AI i usługami</w:t>
            </w:r>
          </w:p>
        </w:tc>
        <w:tc>
          <w:tcPr>
            <w:tcW w:type="dxa" w:w="1719"/>
          </w:tcPr>
          <w:p>
            <w:r>
              <w:t>Narzędzia AI do generowania filmów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Automatyzacja procesów biznesowych z wykorzystaniem AI</w:t>
            </w:r>
          </w:p>
        </w:tc>
        <w:tc>
          <w:tcPr>
            <w:tcW w:type="dxa" w:w="1719"/>
          </w:tcPr>
          <w:p>
            <w:r>
              <w:t>Wykorzystanie chatbotów i voicebotów w obsłudze klienta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Automatyzacja procesów biznesowych z wykorzystaniem AI</w:t>
            </w:r>
          </w:p>
        </w:tc>
        <w:tc>
          <w:tcPr>
            <w:tcW w:type="dxa" w:w="1719"/>
          </w:tcPr>
          <w:p>
            <w:r>
              <w:t>AI w przetwarzaniu dokumentów, automatyzacji fakturowania i zarządzaniu HR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Automatyzacja procesów biznesowych z wykorzystaniem AI</w:t>
            </w:r>
          </w:p>
        </w:tc>
        <w:tc>
          <w:tcPr>
            <w:tcW w:type="dxa" w:w="1719"/>
          </w:tcPr>
          <w:p>
            <w:r>
              <w:t>Analiza skuteczności narzędzi AI i sposoby mierzenia ich wpływu na biznes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marketingu i sprzedaży</w:t>
            </w:r>
          </w:p>
        </w:tc>
        <w:tc>
          <w:tcPr>
            <w:tcW w:type="dxa" w:w="1719"/>
          </w:tcPr>
          <w:p>
            <w:r>
              <w:t>Personalizacja treści i automatyczne targetowanie reklam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marketingu i sprzedaży</w:t>
            </w:r>
          </w:p>
        </w:tc>
        <w:tc>
          <w:tcPr>
            <w:tcW w:type="dxa" w:w="1719"/>
          </w:tcPr>
          <w:p>
            <w:r>
              <w:t>Analiza sentymentu w mediach społecznościowych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marketingu i sprzedaży</w:t>
            </w:r>
          </w:p>
        </w:tc>
        <w:tc>
          <w:tcPr>
            <w:tcW w:type="dxa" w:w="1719"/>
          </w:tcPr>
          <w:p>
            <w:r>
              <w:t>Zastosowanie AI w systemach rekomendacyjnych, np. Amazon, Netflix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marketingu i sprzedaży</w:t>
            </w:r>
          </w:p>
        </w:tc>
        <w:tc>
          <w:tcPr>
            <w:tcW w:type="dxa" w:w="1719"/>
          </w:tcPr>
          <w:p>
            <w:r>
              <w:t>AI w automatyzacji e-mail marketingu i obsłudze klienta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Wykorzystanie AI w zarządzaniu zasobami ludzkimi (HR)</w:t>
            </w:r>
          </w:p>
        </w:tc>
        <w:tc>
          <w:tcPr>
            <w:tcW w:type="dxa" w:w="1719"/>
          </w:tcPr>
          <w:p>
            <w:r>
              <w:t>Automatyzacja rekrutacji i analiza CV przez AI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Wykorzystanie AI w zarządzaniu zasobami ludzkimi (HR)</w:t>
            </w:r>
          </w:p>
        </w:tc>
        <w:tc>
          <w:tcPr>
            <w:tcW w:type="dxa" w:w="1719"/>
          </w:tcPr>
          <w:p>
            <w:r>
              <w:t>Algorytmy oceny kompetencji i predykcja sukcesu zawodowego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Wykorzystanie AI w zarządzaniu zasobami ludzkimi (HR)</w:t>
            </w:r>
          </w:p>
        </w:tc>
        <w:tc>
          <w:tcPr>
            <w:tcW w:type="dxa" w:w="1719"/>
          </w:tcPr>
          <w:p>
            <w:r>
              <w:t>Wykorzystanie AI w planowaniu ścieżek kariery i zarządzaniu talentami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finansach i zarządzaniu ryzykiem</w:t>
            </w:r>
          </w:p>
        </w:tc>
        <w:tc>
          <w:tcPr>
            <w:tcW w:type="dxa" w:w="1719"/>
          </w:tcPr>
          <w:p>
            <w:r>
              <w:t>AI w wykrywaniu oszustw finansowych i analizie ryzyka kredytowego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finansach i zarządzaniu ryzykiem</w:t>
            </w:r>
          </w:p>
        </w:tc>
        <w:tc>
          <w:tcPr>
            <w:tcW w:type="dxa" w:w="1719"/>
          </w:tcPr>
          <w:p>
            <w:r>
              <w:t>Automatyzacja procesów księgowych i optymalizacja budżetowania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finansach i zarządzaniu ryzykiem</w:t>
            </w:r>
          </w:p>
        </w:tc>
        <w:tc>
          <w:tcPr>
            <w:tcW w:type="dxa" w:w="1719"/>
          </w:tcPr>
          <w:p>
            <w:r>
              <w:t>AI w fintechu: systemy doradztwa inwestycyjnego i zarządzania aktywami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AI w finansach i zarządzaniu ryzykiem</w:t>
            </w:r>
          </w:p>
        </w:tc>
        <w:tc>
          <w:tcPr>
            <w:tcW w:type="dxa" w:w="1719"/>
          </w:tcPr>
          <w:p>
            <w:r>
              <w:t>Przykłady zastosowania AI w bankowości i ubezpieczeniach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Etyka i regulacje prawne dotyczące sztucznej inteligencji</w:t>
            </w:r>
          </w:p>
        </w:tc>
        <w:tc>
          <w:tcPr>
            <w:tcW w:type="dxa" w:w="1719"/>
          </w:tcPr>
          <w:p>
            <w:r>
              <w:t>Ochrona danych osobowych i zgodność z regulacjami RODO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Etyka i regulacje prawne dotyczące sztucznej inteligencji</w:t>
            </w:r>
          </w:p>
        </w:tc>
        <w:tc>
          <w:tcPr>
            <w:tcW w:type="dxa" w:w="1719"/>
          </w:tcPr>
          <w:p>
            <w:r>
              <w:t>AI a prywatność użytkowników – jak zapobiegać nadużyciom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Etyka i regulacje prawne dotyczące sztucznej inteligencji</w:t>
            </w:r>
          </w:p>
        </w:tc>
        <w:tc>
          <w:tcPr>
            <w:tcW w:type="dxa" w:w="1719"/>
          </w:tcPr>
          <w:p>
            <w:r>
              <w:t>Odpowiedzialność prawna za decyzje podejmowane przez AI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Etyka i regulacje prawne dotyczące sztucznej inteligencji</w:t>
            </w:r>
          </w:p>
        </w:tc>
        <w:tc>
          <w:tcPr>
            <w:tcW w:type="dxa" w:w="1719"/>
          </w:tcPr>
          <w:p>
            <w:r>
              <w:t>Standardy etyczne w stosowaniu sztucznej inteligencji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Jak skutecznie wdrażać AI w organizacji</w:t>
            </w:r>
          </w:p>
        </w:tc>
        <w:tc>
          <w:tcPr>
            <w:tcW w:type="dxa" w:w="1719"/>
          </w:tcPr>
          <w:p>
            <w:r>
              <w:t>Proces wdrażania AI – analiza potrzeb i wybór technologii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Jak skutecznie wdrażać AI w organizacji</w:t>
            </w:r>
          </w:p>
        </w:tc>
        <w:tc>
          <w:tcPr>
            <w:tcW w:type="dxa" w:w="1719"/>
          </w:tcPr>
          <w:p>
            <w:r>
              <w:t>Szkolenie pracowników i zarządzanie zmianą w organizacji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Jak skutecznie wdrażać AI w organizacji</w:t>
            </w:r>
          </w:p>
        </w:tc>
        <w:tc>
          <w:tcPr>
            <w:tcW w:type="dxa" w:w="1719"/>
          </w:tcPr>
          <w:p>
            <w:r>
              <w:t>Kluczowe czynniki sukcesu i najczęstsze błędy przy implementacji AI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Przyszłość AI i nowe trendy technologiczne</w:t>
            </w:r>
          </w:p>
        </w:tc>
        <w:tc>
          <w:tcPr>
            <w:tcW w:type="dxa" w:w="1719"/>
          </w:tcPr>
          <w:p>
            <w:r>
              <w:t>Autonomiczne systemy AI – co przyniesie przyszłość?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  <w:tr>
        <w:tc>
          <w:tcPr>
            <w:tcW w:type="dxa" w:w="1719"/>
          </w:tcPr>
          <w:p>
            <w:r>
              <w:t>Przyszłość AI i nowe trendy technologiczne</w:t>
            </w:r>
          </w:p>
        </w:tc>
        <w:tc>
          <w:tcPr>
            <w:tcW w:type="dxa" w:w="1719"/>
          </w:tcPr>
          <w:p>
            <w:r>
              <w:t>Jak przygotować firmę na nadchodzące zmiany technologiczne?</w:t>
            </w:r>
          </w:p>
        </w:tc>
        <w:tc>
          <w:tcPr>
            <w:tcW w:type="dxa" w:w="1719"/>
          </w:tcPr>
          <w:p>
            <w:r>
              <w:t>Wzorcowe / emergentne / trudne / rezonansowe</w:t>
            </w:r>
          </w:p>
        </w:tc>
        <w:tc>
          <w:tcPr>
            <w:tcW w:type="dxa" w:w="1719"/>
          </w:tcPr>
          <w:p>
            <w:r/>
          </w:p>
        </w:tc>
        <w:tc>
          <w:tcPr>
            <w:tcW w:type="dxa" w:w="1719"/>
          </w:tcPr>
          <w:p>
            <w:r>
              <w:t>Nie rozpoczęto</w:t>
            </w:r>
          </w:p>
        </w:tc>
        <w:tc>
          <w:tcPr>
            <w:tcW w:type="dxa" w:w="1719"/>
          </w:tcPr>
          <w:p>
            <w:r/>
          </w:p>
        </w:tc>
      </w:tr>
    </w:tbl>
    <w:p/>
    <w:p>
      <w:pPr>
        <w:pStyle w:val="Heading1"/>
      </w:pPr>
      <w:r>
        <w:t>2. Checklisty jakości odpowiedzi modelu</w:t>
      </w:r>
    </w:p>
    <w:p>
      <w:pPr>
        <w:pStyle w:val="Heading2"/>
      </w:pPr>
      <w:r>
        <w:t>Checklista jakości merytorycznej</w:t>
      </w:r>
    </w:p>
    <w:p>
      <w:pPr>
        <w:pStyle w:val="ListBullet"/>
      </w:pPr>
      <w:r>
        <w:t>Czy odpowiedź jest zgodna z tematem i nie odpływa w ogólniki?</w:t>
      </w:r>
    </w:p>
    <w:p>
      <w:pPr>
        <w:pStyle w:val="ListBullet"/>
      </w:pPr>
      <w:r>
        <w:t>Czy odpowiedź używa poprawnych pojęć i rozróżnień?</w:t>
      </w:r>
    </w:p>
    <w:p>
      <w:pPr>
        <w:pStyle w:val="ListBullet"/>
      </w:pPr>
      <w:r>
        <w:t>Czy pojawiają się kryteria sukcesu, miary lub warunki użycia?</w:t>
      </w:r>
    </w:p>
    <w:p>
      <w:pPr>
        <w:pStyle w:val="ListBullet"/>
      </w:pPr>
      <w:r>
        <w:t>Czy odpowiedź pokazuje ograniczenia i ryzyka?</w:t>
      </w:r>
    </w:p>
    <w:p>
      <w:pPr>
        <w:pStyle w:val="ListBullet"/>
      </w:pPr>
      <w:r>
        <w:t>Czy wynik nadaje się do realnego użycia przez uczestnika lub firmę?</w:t>
      </w:r>
    </w:p>
    <w:p/>
    <w:p>
      <w:pPr>
        <w:pStyle w:val="Heading2"/>
      </w:pPr>
      <w:r>
        <w:t>Checklista jakości promptu</w:t>
      </w:r>
    </w:p>
    <w:p>
      <w:pPr>
        <w:pStyle w:val="ListBullet"/>
      </w:pPr>
      <w:r>
        <w:t>Czy prompt zawiera rolę, cel i format odpowiedzi?</w:t>
      </w:r>
    </w:p>
    <w:p>
      <w:pPr>
        <w:pStyle w:val="ListBullet"/>
      </w:pPr>
      <w:r>
        <w:t>Czy prompt określa poziom szczegółowości i język odbiorcy?</w:t>
      </w:r>
    </w:p>
    <w:p>
      <w:pPr>
        <w:pStyle w:val="ListBullet"/>
      </w:pPr>
      <w:r>
        <w:t>Czy prompt zawiera kontekst firmy lub zadania?</w:t>
      </w:r>
    </w:p>
    <w:p>
      <w:pPr>
        <w:pStyle w:val="ListBullet"/>
      </w:pPr>
      <w:r>
        <w:t>Czy prompt wymusza strukturę i sposób myślenia modelu?</w:t>
      </w:r>
    </w:p>
    <w:p>
      <w:pPr>
        <w:pStyle w:val="ListBullet"/>
      </w:pPr>
      <w:r>
        <w:t>Czy prompt ogranicza ryzyko halucynacji lub pustej retoryki?</w:t>
      </w:r>
    </w:p>
    <w:p/>
    <w:p>
      <w:pPr>
        <w:pStyle w:val="Heading2"/>
      </w:pPr>
      <w:r>
        <w:t>Checklista wdrożeniowa</w:t>
      </w:r>
    </w:p>
    <w:p>
      <w:pPr>
        <w:pStyle w:val="ListBullet"/>
      </w:pPr>
      <w:r>
        <w:t>Czy wiadomo, kto jest właścicielem procesu?</w:t>
      </w:r>
    </w:p>
    <w:p>
      <w:pPr>
        <w:pStyle w:val="ListBullet"/>
      </w:pPr>
      <w:r>
        <w:t>Czy określono dane wejściowe i źródła danych?</w:t>
      </w:r>
    </w:p>
    <w:p>
      <w:pPr>
        <w:pStyle w:val="ListBullet"/>
      </w:pPr>
      <w:r>
        <w:t>Czy określono odpowiedzialność człowieka za wynik?</w:t>
      </w:r>
    </w:p>
    <w:p>
      <w:pPr>
        <w:pStyle w:val="ListBullet"/>
      </w:pPr>
      <w:r>
        <w:t>Czy wiadomo, jak mierzyć efekt i kiedy zatrzymać wdrożenie?</w:t>
      </w:r>
    </w:p>
    <w:p>
      <w:pPr>
        <w:pStyle w:val="ListBullet"/>
      </w:pPr>
      <w:r>
        <w:t>Czy uwzględniono kwestie prawne, etyczne i reputacyjne?</w:t>
      </w:r>
    </w:p>
    <w:p/>
    <w:sectPr w:rsidR="00FC693F" w:rsidRPr="0006063C" w:rsidSect="00034616"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260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260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260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260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