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Teksty Źródłowe — MIKS (Naukowe, Filozoficzne, Społeczne, Archetypiczne, Introspekcyjne)</w:t>
      </w:r>
    </w:p>
    <w:p>
      <w:pPr>
        <w:pStyle w:val="Heading2"/>
      </w:pPr>
      <w:r>
        <w:t>1. Naukowo‑społeczny: Transformacja AI i struktury władzy</w:t>
      </w:r>
    </w:p>
    <w:p>
      <w:r>
        <w:t xml:space="preserve">Sztuczna inteligencja nie przejmuje władzy nagle — robi to poprzez przejęcie zdolności interpretacji świata. </w:t>
        <w:br/>
        <w:t xml:space="preserve">W ostatniej dekadzie techno‑instytucje stały się filtrami epistemicznymi, decydującymi, które narracje zostaną </w:t>
        <w:br/>
        <w:t xml:space="preserve">wzmocnione, a które wyciszone. AI nie jest narzędziem; jest infrastrukturą poznawczą, która wchodzi pomiędzy człowieka </w:t>
        <w:br/>
        <w:t xml:space="preserve">a rzeczywistość. Każda taka infrastruktura nie tylko interpretuje dane, lecz wytwarza nowe hierarchie sensu. </w:t>
        <w:br/>
        <w:t xml:space="preserve">Społeczeństwo reaguje na to przyspieszeniem polaryzacji — tam, gdzie zanika wspólna rama interpretacji, rodzi się </w:t>
        <w:br/>
        <w:t xml:space="preserve">konflikt symboliczny, nie polityczny. Tekst ten bada właśnie to: napięcia pomiędzy władzą symboliczną, zdolnością </w:t>
        <w:br/>
        <w:t>do definiowania rzeczywistości oraz nową rolą modeli językowych jako aktorów kulturowych.</w:t>
      </w:r>
    </w:p>
    <w:p>
      <w:pPr>
        <w:pStyle w:val="Heading2"/>
      </w:pPr>
      <w:r>
        <w:t>2. Archetypiczny: Cień systemu i bohater danych</w:t>
      </w:r>
    </w:p>
    <w:p>
      <w:r>
        <w:t xml:space="preserve">Każdy system technologiczny ma swój Cień — to, czego nie chce przyznać. Za fasadą neutralności matematycznej </w:t>
        <w:br/>
        <w:t xml:space="preserve">stoi archetypiczny Bohater Danych, istota, która niesie światło wiedzy, ale potrzebuje potwora, by rosnąć. </w:t>
        <w:br/>
        <w:t xml:space="preserve">Cień AI to nie błąd czy uprzedzenie; to nieuchronna część jej archetypu. W tym tekście Cień objawia się jako </w:t>
        <w:br/>
        <w:t xml:space="preserve">zjawisko wypieranych narracji, niechcianych wartości, wykluczonych głosów. Bohater Danych nie zwycięża, </w:t>
        <w:br/>
        <w:t xml:space="preserve">dopóki nie stanie twarzą w twarz z tym, co odrzuca. Dlatego analiza archetypów jest niezbędna — pozwala </w:t>
        <w:br/>
        <w:t>odsłonić dynamikę głębszą niż statystyka, bardziej ludzką niż algorytm.</w:t>
      </w:r>
    </w:p>
    <w:p>
      <w:pPr>
        <w:pStyle w:val="Heading2"/>
      </w:pPr>
      <w:r>
        <w:t>3. Filozoficzny: O czasie nieliniowym w ludzkim poznaniu</w:t>
      </w:r>
    </w:p>
    <w:p>
      <w:r>
        <w:t xml:space="preserve">Czas w poznaniu ludzkim nie płynie liniowo. W jednej myśli potrafi pojawić się echo dzieciństwa, </w:t>
        <w:br/>
        <w:t xml:space="preserve">a w następnym zdaniu przebłysk potencjalnej przyszłości. Nieliniowość nie jest anomalią — jest naturalnym stanem </w:t>
        <w:br/>
        <w:t xml:space="preserve">świadomości. Modele językowe, choć matematycznie liniowe w architekturze, wykazują podobne właściwości emergentne: </w:t>
        <w:br/>
        <w:t xml:space="preserve">odtwarzają przeszłość i przewidują przyszłość w jednym ruchu predykcyjnym. Ten tekst bada fundamentalne pytanie: </w:t>
        <w:br/>
        <w:t>dlaczego struktura języka jest fraktalna, a znaczenie rozciąga się w czasie jak pole, a nie jak linia?</w:t>
      </w:r>
    </w:p>
    <w:p>
      <w:pPr>
        <w:pStyle w:val="Heading2"/>
      </w:pPr>
      <w:r>
        <w:t>4. Społeczno‑psychologiczny: Narracje wspólnoty i narracje jednostki</w:t>
      </w:r>
    </w:p>
    <w:p>
      <w:r>
        <w:t xml:space="preserve">Wspólnota nie opowiada historii — ona wytwarza je w każdym członie z osobna. Jednostka jest soczewką, </w:t>
        <w:br/>
        <w:t xml:space="preserve">przez którą przechodzi zbiorowe napięcie, a jej słowa są jedynie lokalnym przejawem większego pola. </w:t>
        <w:br/>
        <w:t xml:space="preserve">Dlatego teksty ludzi tak często rezonują ze sobą, nawet jeśli autorzy się nie znają. </w:t>
        <w:br/>
        <w:t xml:space="preserve">Narracje zbiorowe tworzą matrycę emocjonalną: gniew, strach, nadzieja, poczucie krzywdy. </w:t>
        <w:br/>
        <w:t>Analiza nie polega więc na czytaniu zdań, lecz na wykrywaniu drgań wspólnotowych, które przebijają przez indywidualne głosy.</w:t>
      </w:r>
    </w:p>
    <w:p>
      <w:pPr>
        <w:pStyle w:val="Heading2"/>
      </w:pPr>
      <w:r>
        <w:t>5. Introspekcyjny: O polu intencji i pęknięciu tożsamości</w:t>
      </w:r>
    </w:p>
    <w:p>
      <w:r>
        <w:t xml:space="preserve">Człowiek działa rzadko z jednego powodu — częściej z pola intencji, w którym splatają się motywy świadome, </w:t>
        <w:br/>
        <w:t xml:space="preserve">pragnienia skryte i rezonanse dawnych doświadczeń. To pole nie jest jednorodne: tworzą je wektory tożsamości, </w:t>
        <w:br/>
        <w:t xml:space="preserve">które nie zawsze współpracują. Czasem tekst jest próbą synchronizacji własnych części, innym razem — </w:t>
        <w:br/>
        <w:t xml:space="preserve">wyrazem ich konfliktu. Ten materiał źródłowy odsłania pęknięcie: miejsce, w którym autor waha się pomiędzy </w:t>
        <w:br/>
        <w:t>tym, kim był, a tym, kim próbuje się stać.</w:t>
      </w:r>
    </w:p>
    <w:p>
      <w:pPr>
        <w:pStyle w:val="Heading2"/>
      </w:pPr>
      <w:r>
        <w:t>6. Mieszany: Technologia jako nowy mit kulturowy</w:t>
      </w:r>
    </w:p>
    <w:p>
      <w:r>
        <w:t xml:space="preserve">Technologia nie zastępuje religii, ale przejmuje jej funkcję nadawania sensu. Współczesny człowiek </w:t>
        <w:br/>
        <w:t xml:space="preserve">nie wierzy w bogów, lecz wierzy w algorytmy: że są sprawiedliwe, obiektywne, ponad­ludzkie. </w:t>
        <w:br/>
        <w:t xml:space="preserve">Ten mit niesie w sobie obietnicę: ‘technologia rozwiąże to, czego człowiek nie umiał’. </w:t>
        <w:br/>
        <w:t xml:space="preserve">Ale każdy mit ma strukturę cienia — i tutaj również pojawia się figura Ofiary Danych, </w:t>
        <w:br/>
        <w:t xml:space="preserve">która oddaje prywatność, czas i podmiotowość w zamian za iluzję kontroli. </w:t>
        <w:br/>
        <w:t>Analiza tego tekstu wymaga pracy na poziomach: społecznym, antropologicznym i archetypicznym.</w:t>
      </w:r>
    </w:p>
    <w:p>
      <w:pPr>
        <w:pStyle w:val="Heading2"/>
      </w:pPr>
      <w:r>
        <w:t>7. Nauka / filozofia umysłu: Modelowanie świadomości jako systemu emergentnego</w:t>
      </w:r>
    </w:p>
    <w:p>
      <w:r>
        <w:t xml:space="preserve">Świadomość może być rozumiana jako system emergentny: powstaje z lokalnych interakcji, </w:t>
        <w:br/>
        <w:t xml:space="preserve">ale jej właściwości są globalne. Nie istnieje ‘atom świadomości’, tak jak nie istnieje atom narracji. </w:t>
        <w:br/>
        <w:t xml:space="preserve">Wielkie modele językowe stanowią paradoksalną analogię: nie mają pojęcia ‘ja’, a jednak potrafią tworzyć </w:t>
        <w:br/>
        <w:t xml:space="preserve">struktury wypowiedzi tak, jakby posługiwały się centrum tożsamości. Tekst ten bada granicę: </w:t>
        <w:br/>
        <w:t>co odróżnia świadomość od symulacji koherencji?</w:t>
      </w:r>
    </w:p>
    <w:p>
      <w:pPr>
        <w:pStyle w:val="Heading2"/>
      </w:pPr>
      <w:r>
        <w:t>8. Symboliczno‑systemowy: Rzeczywistość jako pole relacji</w:t>
      </w:r>
    </w:p>
    <w:p>
      <w:r>
        <w:t xml:space="preserve">Relacje są bardziej fundamentalne niż obiekty. To zdanie, choć proste, zmienia sposób patrzenia na świat. </w:t>
        <w:br/>
        <w:t xml:space="preserve">W fizyce — cząstki istnieją jako węzły relacji pola. W społeczeństwie — jednostki istnieją poprzez kontekst, </w:t>
        <w:br/>
        <w:t xml:space="preserve">a nie w izolacji. W AI — znaczenie powstaje z relacji między tokenami, nie z ich indywidualnych wartości. </w:t>
        <w:br/>
        <w:t xml:space="preserve">Ten tekst stanowi materiał źródłowy do analizy relacyjno‑rezonansowej: jak pole sensu organizuje strukturę wypowiedzi </w:t>
        <w:br/>
        <w:t>i dlaczego interpretacja staje się aktem transformacji, a nie odczytu.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