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65D"/>
          <w:sz w:val="36"/>
        </w:rPr>
        <w:t>Wniosek o uruchomienie porównawczego pilotażu zarządzanego dostępu do zaawansowanych modeli sztucznej inteligencji</w:t>
      </w:r>
    </w:p>
    <w:p>
      <w:pPr>
        <w:spacing w:after="180"/>
      </w:pPr>
      <w:r>
        <w:rPr>
          <w:rFonts w:ascii="Aptos" w:hAnsi="Aptos"/>
          <w:i/>
          <w:color w:val="666666"/>
          <w:sz w:val="21"/>
        </w:rPr>
        <w:t>dla Działu Baz Danych, Aplikacji i Rozwoju Sztucznej Inteligencji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Miejscowość i data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[MIEJSCOWOŚĆ, DATA]</w:t>
            </w:r>
          </w:p>
        </w:tc>
      </w:tr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Do / Od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Do: Zarząd [NAZWA ORGANIZACJI]</w:t>
              <w:br/>
              <w:t>Od: [IMIĘ I NAZWISKO / JEDNOSTKA]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Aptos Display" w:hAnsi="Aptos Display"/>
          <w:b/>
          <w:color w:val="17365D"/>
          <w:sz w:val="23"/>
        </w:rPr>
        <w:t>KARTA DECYZJI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Decyzja wymagana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Zgoda na uruchomienie pilotażu porównawczego oraz budżet maksymalny [KWOTA NETTO].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Czas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Pomiar bazowy: 2–4 tygodnie. Pilotaż właściwy: [3] miesiące. Raport: do [2] tygodni po zakończeniu.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Uczestnicy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[LICZBA] pracowników z reprezentatywnych ról działu.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Zakres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Microsoft 365 Copilot jako punkt odniesienia; ChatGPT Enterprise; Claude Team lub Enterprise; Codex; Claude Code; kontrolowany budżet API OpenAI i Anthropic.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Rezultat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Raport porównawczy oraz rekomendacja: zakup, zakup selektywny albo rezygnacja.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Właściciel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Dział Baz Danych, Aplikacji i Rozwoju Sztucznej Inteligencji.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Zasada decyzyjna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404040"/>
                <w:sz w:val="19"/>
              </w:rPr>
              <w:t>Wybór dostawcy, planu i liczby licencji będzie wynikiem pomiaru na rzeczywistych zadaniach, a nie założeniem przyjmowanym przed rozpoczęciem pilotażu.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i w:val="0"/>
        </w:rPr>
        <w:t>Zwracam się z wnioskiem o zapewnienie pracownikom Działu Baz Danych, Aplikacji i Rozwoju Sztucznej Inteligencji zarządzanego dostępu do wiodących modeli sztucznej inteligencji klasy frontier w formie pilotażu porównawczego. Pilotaż powinien zostać zakończony decyzją zakupową opartą na zmierzonych wynikach, wymaganiach bezpieczeństwa i całkowitym koszcie wykorzystania.</w:t>
      </w:r>
    </w:p>
    <w:p>
      <w:pPr>
        <w:keepLines w:val="0"/>
      </w:pPr>
      <w:r>
        <w:rPr>
          <w:i w:val="0"/>
        </w:rPr>
        <w:t>Celem wniosku nie jest zastąpienie Microsoft 365 Copilot. Pełna licencja Microsoft 365 Copilot pozostaje właściwym narzędziem do pracy osadzonej w ekosystemie Microsoft, w tym w Word, Excel, PowerPoint, Outlook, Teams i usługach korzystających z Microsoft Graph. W pilotażu Copilot będzie stanowił punkt odniesienia dla oceny dodatkowej wartości innych narzędzi.</w:t>
      </w:r>
    </w:p>
    <w:p>
      <w:pPr>
        <w:keepLines w:val="0"/>
      </w:pPr>
      <w:r>
        <w:rPr>
          <w:i w:val="0"/>
        </w:rPr>
        <w:t>Wniosek dotyczy obszarów, których Microsoft 365 Copilot nie obsługuje albo których przydatność dla zadań działu nie została dotychczas zweryfikowana w sposób porównawczy: zaawansowanej analizy technicznej, pracy z dużymi zbiorami dokumentacji, programowania agentowego, projektowania architektury, prototypowania, badań oraz budowy i ewaluacji systemów AI.</w:t>
      </w:r>
    </w:p>
    <w:p>
      <w:pPr>
        <w:pStyle w:val="Heading1"/>
      </w:pPr>
      <w:r>
        <w:t>1. Uzasadnienie biznesowe i technologiczne</w:t>
      </w:r>
    </w:p>
    <w:p>
      <w:pPr>
        <w:keepLines w:val="0"/>
      </w:pPr>
      <w:r>
        <w:rPr>
          <w:i w:val="0"/>
        </w:rPr>
        <w:t>Dział realizuje zadania wykraczające poza standardową pracę biurową i wymaga narzędzi dopasowanych do różnych klas pracy. Do podstawowych obszarów należą:</w:t>
      </w:r>
    </w:p>
    <w:p>
      <w:pPr>
        <w:pStyle w:val="ListBullet"/>
        <w:spacing w:after="50"/>
        <w:ind w:left="312" w:hanging="142"/>
      </w:pPr>
      <w:r>
        <w:t>projektowanie, rozwój i utrzymanie aplikacji;</w:t>
      </w:r>
    </w:p>
    <w:p>
      <w:pPr>
        <w:pStyle w:val="ListBullet"/>
        <w:spacing w:after="50"/>
        <w:ind w:left="312" w:hanging="142"/>
      </w:pPr>
      <w:r>
        <w:t>tworzenie, analiza, refaktoryzacja i optymalizacja kodu;</w:t>
      </w:r>
    </w:p>
    <w:p>
      <w:pPr>
        <w:pStyle w:val="ListBullet"/>
        <w:spacing w:after="50"/>
        <w:ind w:left="312" w:hanging="142"/>
      </w:pPr>
      <w:r>
        <w:t>projektowanie struktur baz danych i modeli danych;</w:t>
      </w:r>
    </w:p>
    <w:p>
      <w:pPr>
        <w:pStyle w:val="ListBullet"/>
        <w:spacing w:after="50"/>
        <w:ind w:left="312" w:hanging="142"/>
      </w:pPr>
      <w:r>
        <w:t>przygotowywanie i optymalizacja zapytań SQL;</w:t>
      </w:r>
    </w:p>
    <w:p>
      <w:pPr>
        <w:pStyle w:val="ListBullet"/>
        <w:spacing w:after="50"/>
        <w:ind w:left="312" w:hanging="142"/>
      </w:pPr>
      <w:r>
        <w:t>analiza logów, błędów i incydentów technicznych;</w:t>
      </w:r>
    </w:p>
    <w:p>
      <w:pPr>
        <w:pStyle w:val="ListBullet"/>
        <w:spacing w:after="50"/>
        <w:ind w:left="312" w:hanging="142"/>
      </w:pPr>
      <w:r>
        <w:t>projektowanie integracji, interfejsów API, procesów ETL i migracji danych;</w:t>
      </w:r>
    </w:p>
    <w:p>
      <w:pPr>
        <w:pStyle w:val="ListBullet"/>
        <w:spacing w:after="50"/>
        <w:ind w:left="312" w:hanging="142"/>
      </w:pPr>
      <w:r>
        <w:t>tworzenie dokumentacji technicznej i architektonicznej;</w:t>
      </w:r>
    </w:p>
    <w:p>
      <w:pPr>
        <w:pStyle w:val="ListBullet"/>
        <w:spacing w:after="50"/>
        <w:ind w:left="312" w:hanging="142"/>
      </w:pPr>
      <w:r>
        <w:t>budowa prototypów oraz demonstratorów technologicznych;</w:t>
      </w:r>
    </w:p>
    <w:p>
      <w:pPr>
        <w:pStyle w:val="ListBullet"/>
        <w:spacing w:after="50"/>
        <w:ind w:left="312" w:hanging="142"/>
      </w:pPr>
      <w:r>
        <w:t>rozwój systemów wykorzystujących modele językowe, RAG i agentów AI;</w:t>
      </w:r>
    </w:p>
    <w:p>
      <w:pPr>
        <w:pStyle w:val="ListBullet"/>
        <w:spacing w:after="50"/>
        <w:ind w:left="312" w:hanging="142"/>
      </w:pPr>
      <w:r>
        <w:t>prowadzenie testów, eksperymentów i oceny jakości modeli;</w:t>
      </w:r>
    </w:p>
    <w:p>
      <w:pPr>
        <w:pStyle w:val="ListBullet"/>
        <w:spacing w:after="50"/>
        <w:ind w:left="312" w:hanging="142"/>
      </w:pPr>
      <w:r>
        <w:t>analiza nowych technologii oraz przygotowywanie rekomendacji dla organizacji.</w:t>
      </w:r>
    </w:p>
    <w:p>
      <w:pPr>
        <w:pStyle w:val="Heading2"/>
      </w:pPr>
      <w:r>
        <w:t>1.1. Trzy kategorie pracy i trzy formy dostępu</w:t>
      </w:r>
    </w:p>
    <w:p>
      <w:pPr>
        <w:keepLines w:val="0"/>
      </w:pPr>
      <w:r>
        <w:rPr>
          <w:i w:val="0"/>
        </w:rPr>
        <w:t>Jedna licencja konwersacyjna nie pokrywa całego cyklu pracy działu. Pilotaż rozdziela trzy kategorie, ponieważ każda wymaga innego narzędzia, sposobu rozliczenia i kryteriów oceny.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Kategoria pracy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Przykładowe zadania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Forma dostępu i narzędzia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Jednostka kosztu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Analityczno-badawcza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Analiza dokumentacji, architektury i logów; porównywanie wariantów; badania; przygotowywanie rekomendacji.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Punkt odniesienia: Microsoft 365 Copilot. Kandydaci: ChatGPT Enterprise oraz Claude Team/Enterprise.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Stanowisko / miesiąc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Inżynierska w kodzie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Rozwój aplikacji, refaktoryzacja, testy, praca na repozytoriach, analiza błędów.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 i Claude Code. Punkt odniesienia: GitHub Copilot lub aktualne narzędzie programistyczne, jeżeli jest dostępne.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Stanowisko, limity i ewentualne kredyty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Budowa i ewaluacja AI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RAG, agenci, prototypy, testy modeli, benchmarking, integracja modeli z aplikacjami.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OpenAI API i Anthropic API, opcjonalnie przez zatwierdzoną bramkę chmurową.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Faktyczne użycie z twardym limitem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i w:val="0"/>
        </w:rPr>
        <w:t>Dostęp do co najmniej dwóch niezależnych dostawców jest potrzebny do rzetelnego porównania jakości, kosztu, stabilności i dopasowania modeli do zadań organizacji. Dział odpowiedzialny za rozwój AI nie powinien tworzyć rekomendacji architektonicznych na podstawie doświadczenia wyłącznie z jedną platformą.</w:t>
      </w:r>
    </w:p>
    <w:p>
      <w:pPr>
        <w:pStyle w:val="Heading1"/>
      </w:pPr>
      <w:r>
        <w:t>2. Cel i zakres pilotażu porównawczego</w:t>
      </w:r>
    </w:p>
    <w:p>
      <w:pPr>
        <w:keepLines w:val="0"/>
      </w:pPr>
      <w:r>
        <w:rPr>
          <w:i w:val="0"/>
        </w:rPr>
        <w:t>Pilotaż ma zweryfikować trzy hipotezy: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rPr>
          <w:b/>
        </w:rPr>
        <w:t xml:space="preserve">Wartość ponad środowisko bazowe. </w:t>
      </w:r>
      <w:r>
        <w:t>ChatGPT i Claude przynoszą mierzalną wartość w wybranych przepływach pracy, której nie uzyskuje się przy użyciu samego Microsoft 365 Copilot.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rPr>
          <w:b/>
        </w:rPr>
        <w:t xml:space="preserve">Wartość agentów kodujących. </w:t>
      </w:r>
      <w:r>
        <w:t>Codex i Claude Code skracają czas realizacji zadań inżynierskich, ograniczają liczbę iteracji i zwiększają wykrywalność błędów bez obniżenia standardów przeglądu kodu.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rPr>
          <w:b/>
        </w:rPr>
        <w:t xml:space="preserve">Wartość wielomodelowości. </w:t>
      </w:r>
      <w:r>
        <w:t>Porównanie dwóch dostawców poprawia jakość rekomendacji technologicznych i ogranicza ryzyko uzależnienia architektury od jednej platformy.</w:t>
      </w:r>
    </w:p>
    <w:p>
      <w:pPr>
        <w:pStyle w:val="Heading2"/>
      </w:pPr>
      <w:r>
        <w:t>2.1. Zakres narzędzi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Warstwa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Rozwiązanie bazowe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Rozwiązania oceniane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Praca konwersacyjna i analityczna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Microsoft 365 Copilot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ChatGPT Enterprise; Claude Team lub Enterprise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Plan Anthropic zostanie dobrany po analizie bezpieczeństwa, wymagań administracyjnych i warunków przetwarzania.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Praca w kodzie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GitHub Copilot lub obecny proces bez agenta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Codex; Claude Code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 i Claude Code są dostępne w ramach odpowiednich planów. Należy oddzielnie uwzględnić limity i ewentualne kredyty dodatkowego użycia.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Budowa systemów AI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Obecna platforma i modele, jeżeli są wykorzystywane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OpenAI API; Anthropic API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Budżety API są ograniczone twardym limitem i alertami zużycia.</w:t>
            </w:r>
          </w:p>
        </w:tc>
      </w:tr>
    </w:tbl>
    <w:p>
      <w:pPr>
        <w:spacing w:after="0"/>
      </w:pPr>
    </w:p>
    <w:p>
      <w:pPr>
        <w:pStyle w:val="Heading2"/>
      </w:pPr>
      <w:r>
        <w:t>2.2. Projekt eksperymentu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Pomiar bazowy: </w:t>
      </w:r>
      <w:r>
        <w:t>przez 2–4 tygodnie zostanie zmierzony stan obecny dla 4–6 reprezentatywnych przepływów pracy.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Zadania rzeczywiste: </w:t>
      </w:r>
      <w:r>
        <w:t>uczestnicy będą wykonywać pracę wynikającą z aktualnych projektów, z zachowaniem zasad klasyfikacji danych.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Rotacja narzędzi: </w:t>
      </w:r>
      <w:r>
        <w:t>kolejność użycia narzędzi będzie zmieniana, aby ograniczyć wpływ uczenia się i przyzwyczajenia użytkowników.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Porównywalność: </w:t>
      </w:r>
      <w:r>
        <w:t>te same lub równoważne klasy zadań będą wykonywane w rozwiązaniu bazowym i w narzędziach ocenianych.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Niezależna ocena: </w:t>
      </w:r>
      <w:r>
        <w:t>rezultaty techniczne będą oceniane według checklisty, w miarę możliwości bez ujawniania recenzentowi, w którym narzędziu powstały.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Brak automatycznego wdrożenia: </w:t>
      </w:r>
      <w:r>
        <w:t>wynik modelu nie będzie wprowadzany do produkcji bez zatwierdzenia człowieka i standardowych kontroli jakości.</w:t>
      </w:r>
    </w:p>
    <w:p>
      <w:pPr>
        <w:pStyle w:val="Heading1"/>
      </w:pPr>
      <w:r>
        <w:t>3. Korzyści dla organizacji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rPr>
          <w:b/>
        </w:rPr>
        <w:t xml:space="preserve">Skrócenie czasu realizacji zadań technicznych. </w:t>
      </w:r>
      <w:r>
        <w:t>Wsparcie analizy kodu, tworzenia zapytań, dokumentowania systemów, przygotowywania testów, diagnozowania błędów i opracowywania wariantów rozwiązania.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rPr>
          <w:b/>
        </w:rPr>
        <w:t xml:space="preserve">Podniesienie jakości oprogramowania. </w:t>
      </w:r>
      <w:r>
        <w:t>Dodatkowa warstwa kontroli podczas przeglądu kodu, analizy architektury, projektowania testów i identyfikacji przypadków brzegowych.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rPr>
          <w:b/>
        </w:rPr>
        <w:t xml:space="preserve">Przyspieszenie prac badawczo-rozwojowych. </w:t>
      </w:r>
      <w:r>
        <w:t>Skrócenie czasu budowy prototypów, testów koncepcji i oceny przydatności nowych technologii.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rPr>
          <w:b/>
        </w:rPr>
        <w:t xml:space="preserve">Lepsze wykorzystanie wiedzy specjalistów. </w:t>
      </w:r>
      <w:r>
        <w:t>Ograniczenie pracy powtarzalnej i zwiększenie czasu przeznaczonego na projektowanie, decyzje i odpowiedzialność techniczną.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rPr>
          <w:b/>
        </w:rPr>
        <w:t xml:space="preserve">Neutralne rekomendacje technologiczne. </w:t>
      </w:r>
      <w:r>
        <w:t>Udokumentowana wiedza porównawcza o wielu klasach modeli i narzędzi.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rPr>
          <w:b/>
        </w:rPr>
        <w:t xml:space="preserve">Ograniczenie shadow AI. </w:t>
      </w:r>
      <w:r>
        <w:t>Zarządzane konta zmniejszają motywację do używania prywatnych planów konsumenckich i umożliwiają jednolite zasady pracy.</w:t>
      </w:r>
    </w:p>
    <w:p>
      <w:pPr>
        <w:spacing w:after="60"/>
        <w:ind w:left="369" w:hanging="283"/>
      </w:pPr>
      <w:r>
        <w:rPr>
          <w:b/>
        </w:rPr>
        <w:t xml:space="preserve">7. </w:t>
      </w:r>
      <w:r>
        <w:rPr>
          <w:b/>
        </w:rPr>
        <w:t xml:space="preserve">Budowa standardów organizacyjnych. </w:t>
      </w:r>
      <w:r>
        <w:t>Powstaną wzorce promptów, procedury weryfikacji, kryteria oceny modeli i standardy zatwierdzania wewnętrznych asystentów.</w:t>
      </w:r>
    </w:p>
    <w:p>
      <w:pPr>
        <w:spacing w:after="60"/>
        <w:ind w:left="369" w:hanging="283"/>
      </w:pPr>
      <w:r>
        <w:rPr>
          <w:b/>
        </w:rPr>
        <w:t xml:space="preserve">8. </w:t>
      </w:r>
      <w:r>
        <w:rPr>
          <w:b/>
        </w:rPr>
        <w:t xml:space="preserve">Dowód ekonomiczny. </w:t>
      </w:r>
      <w:r>
        <w:t>Organizacja uzyska dane o koszcie za oszczędzoną godzinę i za zaakceptowany rezultat, a nie wyłącznie deklaracje użytkowników.</w:t>
      </w:r>
    </w:p>
    <w:p>
      <w:pPr>
        <w:pStyle w:val="Heading1"/>
      </w:pPr>
      <w:r>
        <w:t>4. Koszty pilotażu</w:t>
      </w:r>
    </w:p>
    <w:p>
      <w:pPr>
        <w:keepLines w:val="0"/>
      </w:pPr>
      <w:r>
        <w:rPr>
          <w:i w:val="0"/>
        </w:rPr>
        <w:t>Szacowana koperta budżetowa dla [LICZBA] uczestników i okresu [LICZBA] miesięcy: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Pozycja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Założenie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Szacunek netto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ChatGPT Enterprise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stanowisk × [LICZBA] miesięcy, zgodnie z ofertą handlową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Claude Team/Enterprise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stanowisk, z podziałem na standard/premium zależnie od roli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 i Claude Code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Dostęp w planach oraz rezerwa na dodatkowe kredyty/zużycie ponad limity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OpenAI API i Anthropic API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Twarde limity, alerty zużycia, brak automatycznego podnoszenia budżetu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Analiza prawna, bezpieczeństwa i DPA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roboczodni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Enablement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Regulamin, klasyfikacja danych, szkolenie, konfiguracja workspace i repozytoriów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Pomiar bazowy i ewaluacja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roboczodni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Rezerwa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Maksymalnie 10% kosztów pilotażu, uruchamiana za zgodą właściciela budżetu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RAZEM, GÓRNA GRANICA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Budżet nieprzekraczalny bez odrębnej zgody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[KWOTA]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Zasada budżetowa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404040"/>
                <w:sz w:val="19"/>
              </w:rPr>
              <w:t>Koszt licencji, kredytów i API jest limitowany. Pilotaż nie może samoczynnie przejść w zakup docelowy ani zwiększyć budżetu bez odrębnej decyzji.</w:t>
            </w:r>
          </w:p>
        </w:tc>
      </w:tr>
    </w:tbl>
    <w:p>
      <w:pPr>
        <w:spacing w:after="0"/>
      </w:pPr>
    </w:p>
    <w:p>
      <w:pPr>
        <w:pStyle w:val="Heading1"/>
      </w:pPr>
      <w:r>
        <w:t>5. Bezpieczeństwo, zgodność i zarządzanie</w:t>
      </w:r>
    </w:p>
    <w:p>
      <w:pPr>
        <w:keepLines w:val="0"/>
      </w:pPr>
      <w:r>
        <w:rPr>
          <w:i w:val="0"/>
        </w:rPr>
        <w:t>Warunkiem uruchomienia pilotażu, a nie elementem odkładanym na jego zakończenie, jest spełnienie poniższych wymagań: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rPr>
          <w:b/>
        </w:rPr>
        <w:t xml:space="preserve">Klasyfikacja danych. </w:t>
      </w:r>
      <w:r>
        <w:t>Przed rozpoczęciem zostaną określone klasy danych dozwolone, warunkowo dozwolone i zakazane. Wyłącza się hasła, tokeny, klucze, dane produkcyjne oraz dane wymagające szczególnej ochrony, chyba że odrębna analiza i umowa dopuszczą konkretny przypadek.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rPr>
          <w:b/>
        </w:rPr>
        <w:t xml:space="preserve">DPA i warunki kontraktowe. </w:t>
      </w:r>
      <w:r>
        <w:t>Dla każdego dostawcy zostaną zweryfikowane umowy powierzenia, retencja, usuwanie danych, dostęp personelu, podwykonawcy, transfery, mechanizmy audytu i zobowiązanie dotyczące niewykorzystywania danych organizacji do trenowania modeli.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rPr>
          <w:b/>
        </w:rPr>
        <w:t xml:space="preserve">Rezydencja danych i inferencji. </w:t>
      </w:r>
      <w:r>
        <w:t>Wymagania lokalizacyjne będą oceniane jako element polityki bezpieczeństwa i zgodności z RODO. Dla ChatGPT Enterprise europejska rezydencja danych i inferencji będzie warunkiem oferty, o ile organizacja spełnia kryteria dostawcy. Dla Anthropic warunki będą potwierdzone odrębnie, a zakres danych dostosowany do zatwierdzonego planu i architektury.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rPr>
          <w:b/>
        </w:rPr>
        <w:t xml:space="preserve">AI Act. </w:t>
      </w:r>
      <w:r>
        <w:t>Zgodność z AI Act będzie oceniana niezależnie od lokalizacji serwerów, w szczególności w zakresie kompetencji AI użytkowników, nadzoru człowieka, przejrzystości, celu użycia i zarządzania ryzykiem.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rPr>
          <w:b/>
        </w:rPr>
        <w:t xml:space="preserve">Tożsamość i dostęp. </w:t>
      </w:r>
      <w:r>
        <w:t>Stosuje się SSO tam, gdzie jest dostępne, imienne konta, zasadę najmniejszych uprawnień, niezwłoczne odbieranie dostępu oraz zakaz współdzielenia kont.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rPr>
          <w:b/>
        </w:rPr>
        <w:t xml:space="preserve">Asystenci i konektory. </w:t>
      </w:r>
      <w:r>
        <w:t>Wewnętrzne asystenty, projekty, konektory, aplikacje i serwery MCP wymagają zatwierdzenia przez wskazaną rolę oraz wpisu do rejestru źródeł danych i uprawnień.</w:t>
      </w:r>
    </w:p>
    <w:p>
      <w:pPr>
        <w:spacing w:after="60"/>
        <w:ind w:left="369" w:hanging="283"/>
      </w:pPr>
      <w:r>
        <w:rPr>
          <w:b/>
        </w:rPr>
        <w:t xml:space="preserve">7. </w:t>
      </w:r>
      <w:r>
        <w:rPr>
          <w:b/>
        </w:rPr>
        <w:t xml:space="preserve">Agenci kodujący. </w:t>
      </w:r>
      <w:r>
        <w:t>Codex i Claude Code pracują wyłącznie na zatwierdzonych repozytoriach i w odseparowanych środowiskach. Nie otrzymują dostępu do produkcji ani poświadczeń. Zmiany powstają na osobnych gałęziach, przechodzą przegląd człowieka, testy, skanowanie sekretów i podatności.</w:t>
      </w:r>
    </w:p>
    <w:p>
      <w:pPr>
        <w:spacing w:after="60"/>
        <w:ind w:left="369" w:hanging="283"/>
      </w:pPr>
      <w:r>
        <w:rPr>
          <w:b/>
        </w:rPr>
        <w:t xml:space="preserve">8. </w:t>
      </w:r>
      <w:r>
        <w:rPr>
          <w:b/>
        </w:rPr>
        <w:t xml:space="preserve">Weryfikacja rezultatów. </w:t>
      </w:r>
      <w:r>
        <w:t>Odpowiedzi modeli są sprawdzane przed użyciem. Kod wygenerowany lub zmieniony przez agenta przechodzi standardowy proces code review bez wyjątków.</w:t>
      </w:r>
    </w:p>
    <w:p>
      <w:pPr>
        <w:spacing w:after="60"/>
        <w:ind w:left="369" w:hanging="283"/>
      </w:pPr>
      <w:r>
        <w:rPr>
          <w:b/>
        </w:rPr>
        <w:t xml:space="preserve">9. </w:t>
      </w:r>
      <w:r>
        <w:rPr>
          <w:b/>
        </w:rPr>
        <w:t xml:space="preserve">Rejestr i incydenty. </w:t>
      </w:r>
      <w:r>
        <w:t>Prowadzi się rejestr uczestników, zatwierdzonych narzędzi, konektorów, repozytoriów, incydentów i naruszeń regulaminu.</w:t>
      </w:r>
    </w:p>
    <w:p>
      <w:pPr>
        <w:spacing w:after="60"/>
        <w:ind w:left="369" w:hanging="283"/>
      </w:pPr>
      <w:r>
        <w:rPr>
          <w:b/>
        </w:rPr>
        <w:t xml:space="preserve">10. </w:t>
      </w:r>
      <w:r>
        <w:rPr>
          <w:b/>
        </w:rPr>
        <w:t xml:space="preserve">Szkolenie. </w:t>
      </w:r>
      <w:r>
        <w:t>Każdy uczestnik przed uzyskaniem dostępu przechodzi szkolenie z klasyfikacji danych, halucynacji, weryfikacji, bezpieczeństwa agentów, praw autorskich i zasad eskalacji.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Ważne rozróżnienie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404040"/>
                <w:sz w:val="19"/>
              </w:rPr>
              <w:t>Europejska lokalizacja danych może być warunkiem dopuszczenia narzędzia, lecz nie jest sama w sobie dowodem zgodności z AI Act ani funkcjonalnej wystarczalności rozwiązania.</w:t>
            </w:r>
          </w:p>
        </w:tc>
      </w:tr>
    </w:tbl>
    <w:p>
      <w:pPr>
        <w:spacing w:after="0"/>
      </w:pPr>
    </w:p>
    <w:p>
      <w:pPr>
        <w:pStyle w:val="Heading1"/>
      </w:pPr>
      <w:r>
        <w:t>6. Metodyka pomiaru i kryteria decyzji</w:t>
      </w:r>
    </w:p>
    <w:p>
      <w:pPr>
        <w:pStyle w:val="Heading2"/>
      </w:pPr>
      <w:r>
        <w:t>6.1. Mierniki</w:t>
      </w:r>
    </w:p>
    <w:p>
      <w:pPr>
        <w:pStyle w:val="ListBullet"/>
        <w:spacing w:after="50"/>
        <w:ind w:left="312" w:hanging="142"/>
      </w:pPr>
      <w:r>
        <w:t>zmiana mediany czasu wykonania zadania względem pomiaru bazowego;</w:t>
      </w:r>
    </w:p>
    <w:p>
      <w:pPr>
        <w:pStyle w:val="ListBullet"/>
        <w:spacing w:after="50"/>
        <w:ind w:left="312" w:hanging="142"/>
      </w:pPr>
      <w:r>
        <w:t>zmiana liczby poprawek i iteracji przeglądu;</w:t>
      </w:r>
    </w:p>
    <w:p>
      <w:pPr>
        <w:pStyle w:val="ListBullet"/>
        <w:spacing w:after="50"/>
        <w:ind w:left="312" w:hanging="142"/>
      </w:pPr>
      <w:r>
        <w:t>jakość techniczna według checklisty właściwej dla danej klasy zadania;</w:t>
      </w:r>
    </w:p>
    <w:p>
      <w:pPr>
        <w:pStyle w:val="ListBullet"/>
        <w:spacing w:after="50"/>
        <w:ind w:left="312" w:hanging="142"/>
      </w:pPr>
      <w:r>
        <w:t>liczba wykrytych błędów, podatności i przypadków brzegowych;</w:t>
      </w:r>
    </w:p>
    <w:p>
      <w:pPr>
        <w:pStyle w:val="ListBullet"/>
        <w:spacing w:after="50"/>
        <w:ind w:left="312" w:hanging="142"/>
      </w:pPr>
      <w:r>
        <w:t>poziom wykorzystania licencji, w tym odsetek aktywnych użytkowników tygodniowo;</w:t>
      </w:r>
    </w:p>
    <w:p>
      <w:pPr>
        <w:pStyle w:val="ListBullet"/>
        <w:spacing w:after="50"/>
        <w:ind w:left="312" w:hanging="142"/>
      </w:pPr>
      <w:r>
        <w:t>liczba udokumentowanych przypadków wartości niedostępnej w Microsoft 365 Copilot;</w:t>
      </w:r>
    </w:p>
    <w:p>
      <w:pPr>
        <w:pStyle w:val="ListBullet"/>
        <w:spacing w:after="50"/>
        <w:ind w:left="312" w:hanging="142"/>
      </w:pPr>
      <w:r>
        <w:t>koszt narzędzia w przeliczeniu na oszczędzoną godzinę pracy;</w:t>
      </w:r>
    </w:p>
    <w:p>
      <w:pPr>
        <w:pStyle w:val="ListBullet"/>
        <w:spacing w:after="50"/>
        <w:ind w:left="312" w:hanging="142"/>
      </w:pPr>
      <w:r>
        <w:t>koszt w przeliczeniu na zaakceptowany rezultat techniczny;</w:t>
      </w:r>
    </w:p>
    <w:p>
      <w:pPr>
        <w:pStyle w:val="ListBullet"/>
        <w:spacing w:after="50"/>
        <w:ind w:left="312" w:hanging="142"/>
      </w:pPr>
      <w:r>
        <w:t>incydenty bezpieczeństwa, naruszenia regulaminu i nieprawidłowe transfery danych, jako miernik negatywny.</w:t>
      </w:r>
    </w:p>
    <w:p>
      <w:pPr>
        <w:pStyle w:val="Heading2"/>
      </w:pPr>
      <w:r>
        <w:t>6.2. Progi decyzyjne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Decyzja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Próg orientacyjny, do zatwierdzenia przed startem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Skutek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Kontynuacja i skalowanie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Aktywne użycie co najmniej 60% tygodniowo oraz poprawa czasu lub jakości o co najmniej 15% w minimum 3 kluczowych przepływach, bez incydentu krytycznego i z uzasadnioną wartością ekonomiczną.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Rekomendacja zakupu docelowego z wyborem dostawcy, planu, liczby licencji i ról.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Zakup selektywny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Wartość potwierdzona tylko dla części kategorii, narzędzi lub grup zawodowych.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Zakup ograniczony do tych zastosowań i pracowników.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Rezygnacja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Aktywne użycie poniżej 40%, brak mierzalnej poprawy albo nieakceptowalne ryzyko lub koszt.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Zakończenie bez zakupu docelowego oraz raport z wnioskami.</w:t>
            </w:r>
          </w:p>
        </w:tc>
      </w:tr>
    </w:tbl>
    <w:p>
      <w:pPr>
        <w:spacing w:after="0"/>
      </w:pPr>
    </w:p>
    <w:p>
      <w:pPr>
        <w:pStyle w:val="Heading1"/>
      </w:pPr>
      <w:r>
        <w:t>7. Role i odpowiedzialności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Rola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Odpowiedzialność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Sponsor zarządczy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Zatwierdzenie budżetu, zakresu i progów decyzyjnych; usuwanie barier organizacyjnych.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Właściciel pilotażu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Plan, dobór uczestników, koordynacja dostawców, raport końcowy.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Bezpieczeństwo / DPO / prawny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Klasyfikacja danych, DPA, ocena transferów, warunki rezydencji, obsługa incydentów.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Właściciele repozytoriów i systemów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Zgoda na zakres dostępu agentów, środowiska testowe, kontrole code review.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Uczestnicy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Wykonywanie zadań, dokumentowanie czasu, poprawek, jakości i przypadków wartości.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Ewaluatorzy techniczni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Ocena wyników według wspólnej checklisty, bez preferowania dostawcy.</w:t>
            </w:r>
          </w:p>
        </w:tc>
      </w:tr>
    </w:tbl>
    <w:p>
      <w:pPr>
        <w:spacing w:after="0"/>
      </w:pPr>
    </w:p>
    <w:p>
      <w:pPr>
        <w:pStyle w:val="Heading1"/>
      </w:pPr>
      <w:r>
        <w:t>8. Harmonogram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Czas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Rezultat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Zgoda i przygotowanie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Tydzień 0–2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Oferty, DPA, klasyfikacja danych, regulamin, wybór uczestników.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Pomiar bazowy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2–4 tygodnie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Punkt odniesienia dla czasu, jakości, poprawek i kosztu.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Pilotaż właściwy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[3] miesiące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Dane porównawcze per narzędzie, rola i kategoria pracy.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Ewaluacja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Do [2] tygodni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Raport, rekomendacja, model kosztowy i ocena bezpieczeństwa.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Decyzja docelowa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Najbliższe posiedzenie po raporcie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Zakup, zakup selektywny albo rezygnacja.</w:t>
            </w:r>
          </w:p>
        </w:tc>
      </w:tr>
    </w:tbl>
    <w:p>
      <w:pPr>
        <w:spacing w:after="0"/>
      </w:pPr>
    </w:p>
    <w:p>
      <w:pPr>
        <w:pStyle w:val="Heading1"/>
      </w:pPr>
      <w:r>
        <w:t>9. Podsumowanie i wniosek</w:t>
      </w:r>
    </w:p>
    <w:p>
      <w:pPr>
        <w:keepLines w:val="0"/>
      </w:pPr>
      <w:r>
        <w:rPr>
          <w:i w:val="0"/>
        </w:rPr>
        <w:t>Wniosek nie dotyczy zastąpienia Microsoft 365 Copilot ani bezwarunkowego zakupu konkretnego produktu. Dotyczy zbudowania w organizacji zdolności do świadomego, zmierzonego i bezpiecznego korzystania z modeli klasy frontier oraz agentów programistycznych.</w:t>
      </w:r>
    </w:p>
    <w:p>
      <w:pPr>
        <w:keepLines w:val="0"/>
      </w:pPr>
      <w:r>
        <w:rPr>
          <w:i w:val="0"/>
        </w:rPr>
        <w:t>W związku z powyższym wnoszę o wyrażenie zgody na: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t>uruchomienie pilotażu porównawczego w zakresie opisanym w niniejszym dokumencie;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t>przeprowadzenie analizy prawnej, bezpieczeństwa i ochrony danych przed udostępnieniem narzędzi;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t>zakup pilotażowych stanowisk i budżetów użycia w granicach nieprzekraczalnej kwoty [KWOTA NETTO];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t>przeprowadzenie pomiaru bazowego i przyjęcie progów decyzyjnych przed rozpoczęciem pilotażu;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t>przedstawienie Zarządowi raportu końcowego w terminie [LICZBA] tygodni od zakończenia pilotażu;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t>podjęcie decyzji o zakupie docelowym wyłącznie na podstawie wyników, bezpieczeństwa i całkowitego kosztu wykorzystania.</w:t>
      </w:r>
    </w:p>
    <w:p>
      <w:pPr>
        <w:spacing w:before="280"/>
      </w:pPr>
      <w:r>
        <w:rPr>
          <w:b/>
        </w:rPr>
        <w:t>Z poważaniem</w:t>
      </w:r>
    </w:p>
    <w:p>
      <w:r>
        <w:t>[IMIĘ I NAZWISKO]</w:t>
        <w:br/>
        <w:t>[STANOWISKO]</w:t>
        <w:br/>
        <w:t>[JEDNOSTKA ORGANIZACYJNA]</w:t>
      </w:r>
    </w:p>
    <w:p>
      <w:pPr>
        <w:pStyle w:val="Heading1"/>
      </w:pPr>
      <w:r>
        <w:t>Źródła i dokumenty odniesienia</w:t>
      </w:r>
    </w:p>
    <w:p>
      <w:pPr>
        <w:pStyle w:val="Źródło"/>
      </w:pPr>
      <w:r>
        <w:rPr>
          <w:i/>
        </w:rPr>
        <w:t>Uwaga: zakres funkcji, limity, zasady rezydencji i modele rozliczeń usług AI zmieniają się. Przed zakupem należy potwierdzić je w ofercie, DPA i dokumentacji obowiązującej w dniu podpisania umowy.</w:t>
      </w:r>
    </w:p>
    <w:p>
      <w:pPr>
        <w:pStyle w:val="Źródło"/>
      </w:pPr>
      <w:r>
        <w:t xml:space="preserve">• </w:t>
      </w:r>
      <w:hyperlink r:id="rId11">
        <w:r>
          <w:rPr>
            <w:color w:val="0563C1"/>
            <w:u w:val="single"/>
            <w:rFonts w:ascii="Aptos" w:hAnsi="Aptos"/>
            <w:sz w:val="18"/>
          </w:rPr>
          <w:t>OpenAI, ChatGPT Enterprise</w:t>
        </w:r>
      </w:hyperlink>
    </w:p>
    <w:p>
      <w:pPr>
        <w:pStyle w:val="Źródło"/>
      </w:pPr>
      <w:r>
        <w:t xml:space="preserve">• </w:t>
      </w:r>
      <w:hyperlink r:id="rId12">
        <w:r>
          <w:rPr>
            <w:color w:val="0563C1"/>
            <w:u w:val="single"/>
            <w:rFonts w:ascii="Aptos" w:hAnsi="Aptos"/>
            <w:sz w:val="18"/>
          </w:rPr>
          <w:t>OpenAI, Enterprise privacy</w:t>
        </w:r>
      </w:hyperlink>
    </w:p>
    <w:p>
      <w:pPr>
        <w:pStyle w:val="Źródło"/>
      </w:pPr>
      <w:r>
        <w:t xml:space="preserve">• </w:t>
      </w:r>
      <w:hyperlink r:id="rId13">
        <w:r>
          <w:rPr>
            <w:color w:val="0563C1"/>
            <w:u w:val="single"/>
            <w:rFonts w:ascii="Aptos" w:hAnsi="Aptos"/>
            <w:sz w:val="18"/>
          </w:rPr>
          <w:t>OpenAI, Data residency and inference residency for ChatGPT</w:t>
        </w:r>
      </w:hyperlink>
    </w:p>
    <w:p>
      <w:pPr>
        <w:pStyle w:val="Źródło"/>
      </w:pPr>
      <w:r>
        <w:t xml:space="preserve">• </w:t>
      </w:r>
      <w:hyperlink r:id="rId14">
        <w:r>
          <w:rPr>
            <w:color w:val="0563C1"/>
            <w:u w:val="single"/>
            <w:rFonts w:ascii="Aptos" w:hAnsi="Aptos"/>
            <w:sz w:val="18"/>
          </w:rPr>
          <w:t>OpenAI, Using Codex with your ChatGPT plan</w:t>
        </w:r>
      </w:hyperlink>
    </w:p>
    <w:p>
      <w:pPr>
        <w:pStyle w:val="Źródło"/>
      </w:pPr>
      <w:r>
        <w:t xml:space="preserve">• </w:t>
      </w:r>
      <w:hyperlink r:id="rId15">
        <w:r>
          <w:rPr>
            <w:color w:val="0563C1"/>
            <w:u w:val="single"/>
            <w:rFonts w:ascii="Aptos" w:hAnsi="Aptos"/>
            <w:sz w:val="18"/>
          </w:rPr>
          <w:t>Anthropic, Plans &amp; Pricing</w:t>
        </w:r>
      </w:hyperlink>
    </w:p>
    <w:p>
      <w:pPr>
        <w:pStyle w:val="Źródło"/>
      </w:pPr>
      <w:r>
        <w:t xml:space="preserve">• </w:t>
      </w:r>
      <w:hyperlink r:id="rId16">
        <w:r>
          <w:rPr>
            <w:color w:val="0563C1"/>
            <w:u w:val="single"/>
            <w:rFonts w:ascii="Aptos" w:hAnsi="Aptos"/>
            <w:sz w:val="18"/>
          </w:rPr>
          <w:t>Anthropic, Claude Code documentation</w:t>
        </w:r>
      </w:hyperlink>
    </w:p>
    <w:p>
      <w:pPr>
        <w:pStyle w:val="Źródło"/>
      </w:pPr>
      <w:r>
        <w:t xml:space="preserve">• </w:t>
      </w:r>
      <w:hyperlink r:id="rId17">
        <w:r>
          <w:rPr>
            <w:color w:val="0563C1"/>
            <w:u w:val="single"/>
            <w:rFonts w:ascii="Aptos" w:hAnsi="Aptos"/>
            <w:sz w:val="18"/>
          </w:rPr>
          <w:t>Microsoft, EU Data Boundary</w:t>
        </w:r>
      </w:hyperlink>
    </w:p>
    <w:p>
      <w:pPr>
        <w:pStyle w:val="Źródło"/>
      </w:pPr>
      <w:r>
        <w:t xml:space="preserve">• </w:t>
      </w:r>
      <w:hyperlink r:id="rId18">
        <w:r>
          <w:rPr>
            <w:color w:val="0563C1"/>
            <w:u w:val="single"/>
            <w:rFonts w:ascii="Aptos" w:hAnsi="Aptos"/>
            <w:sz w:val="18"/>
          </w:rPr>
          <w:t>Microsoft, Data, Privacy, and Security for Microsoft 365 Copilot</w:t>
        </w:r>
      </w:hyperlink>
    </w:p>
    <w:p>
      <w:pPr>
        <w:pStyle w:val="Źródło"/>
      </w:pPr>
      <w:r>
        <w:t xml:space="preserve">• </w:t>
      </w:r>
      <w:hyperlink r:id="rId19">
        <w:r>
          <w:rPr>
            <w:color w:val="0563C1"/>
            <w:u w:val="single"/>
            <w:rFonts w:ascii="Aptos" w:hAnsi="Aptos"/>
            <w:sz w:val="18"/>
          </w:rPr>
          <w:t>Rozporządzenie Parlamentu Europejskiego i Rady (UE) 2024/1689, AI Act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77777"/>
        <w:sz w:val="16"/>
      </w:rPr>
      <w:t xml:space="preserve">Porównawczy pilotaż modeli AI  |  </w:t>
    </w:r>
    <w:r>
      <w:rPr>
        <w:rFonts w:ascii="Aptos" w:hAnsi="Aptos"/>
        <w:sz w:val="16"/>
      </w:rP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1" w:color="B4C6E7"/>
      </w:pBdr>
    </w:pPr>
    <w:r>
      <w:rPr>
        <w:rFonts w:ascii="Aptos" w:hAnsi="Aptos"/>
        <w:color w:val="777777"/>
        <w:sz w:val="16"/>
      </w:rPr>
      <w:t>[NAZWA ORGANIZACJI]  |  Dział Baz Danych, Aplikacji i Rozwoju Sztucznej Inteligencji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404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Źródło">
    <w:name w:val="Źródło"/>
    <w:pPr>
      <w:spacing w:after="40" w:line="240" w:lineRule="auto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business/enterprise/" TargetMode="External"/><Relationship Id="rId12" Type="http://schemas.openxmlformats.org/officeDocument/2006/relationships/hyperlink" Target="https://openai.com/enterprise-privacy/" TargetMode="External"/><Relationship Id="rId13" Type="http://schemas.openxmlformats.org/officeDocument/2006/relationships/hyperlink" Target="https://help.openai.com/en/articles/9903489-data-residency-and-inference-residency-for-chatgpt" TargetMode="External"/><Relationship Id="rId14" Type="http://schemas.openxmlformats.org/officeDocument/2006/relationships/hyperlink" Target="https://help.openai.com/en/articles/11369540-using-codex-with-your-chatgpt-plan" TargetMode="External"/><Relationship Id="rId15" Type="http://schemas.openxmlformats.org/officeDocument/2006/relationships/hyperlink" Target="https://claude.com/pricing" TargetMode="External"/><Relationship Id="rId16" Type="http://schemas.openxmlformats.org/officeDocument/2006/relationships/hyperlink" Target="https://code.claude.com/docs/en/overview" TargetMode="External"/><Relationship Id="rId17" Type="http://schemas.openxmlformats.org/officeDocument/2006/relationships/hyperlink" Target="https://learn.microsoft.com/en-us/privacy/eudb/eu-data-boundary-learn" TargetMode="External"/><Relationship Id="rId18" Type="http://schemas.openxmlformats.org/officeDocument/2006/relationships/hyperlink" Target="https://learn.microsoft.com/en-us/microsoft-365/copilot/microsoft-365-copilot-privacy" TargetMode="External"/><Relationship Id="rId19" Type="http://schemas.openxmlformats.org/officeDocument/2006/relationships/hyperlink" Target="https://eur-lex.europa.eu/eli/reg/2024/1689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Porównawczy pilotaż modeli AI</dc:title>
  <dc:subject>Wniosek dotyczący zarządzanego dostępu do zaawansowanych modeli AI</dc:subject>
  <dc:creator>[imię i nazwisko]</dc:creator>
  <cp:keywords>AI, ChatGPT Enterprise, Claude Team, Codex, Claude Code, Microsoft 365 Copilot, pilotaż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