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3474"/>
        <w:gridCol w:w="2682"/>
        <w:gridCol w:w="2894"/>
        <w:gridCol w:w="2782"/>
        <w:gridCol w:w="2542"/>
        <w:gridCol w:w="505"/>
      </w:tblGrid>
      <w:tr w:rsidR="002A60CD" w:rsidRPr="005F5049" w:rsidTr="00694379">
        <w:tc>
          <w:tcPr>
            <w:tcW w:w="3494" w:type="dxa"/>
          </w:tcPr>
          <w:p w:rsidR="002A60CD" w:rsidRPr="005F5049" w:rsidRDefault="002A60CD" w:rsidP="002A60CD">
            <w:pPr>
              <w:jc w:val="center"/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Opsin</w:t>
            </w:r>
          </w:p>
        </w:tc>
        <w:tc>
          <w:tcPr>
            <w:tcW w:w="2711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Organism</w:t>
            </w:r>
            <w:bookmarkStart w:id="0" w:name="_GoBack"/>
            <w:bookmarkEnd w:id="0"/>
          </w:p>
        </w:tc>
        <w:tc>
          <w:tcPr>
            <w:tcW w:w="2721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About org</w:t>
            </w:r>
          </w:p>
        </w:tc>
        <w:tc>
          <w:tcPr>
            <w:tcW w:w="2831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Structure (PDB/</w:t>
            </w:r>
            <w:proofErr w:type="spellStart"/>
            <w:r w:rsidRPr="005F5049">
              <w:rPr>
                <w:sz w:val="28"/>
                <w:szCs w:val="28"/>
                <w:lang w:val="en-US"/>
              </w:rPr>
              <w:t>UniProt</w:t>
            </w:r>
            <w:proofErr w:type="spellEnd"/>
            <w:r w:rsidRPr="005F504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02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Properties</w:t>
            </w:r>
          </w:p>
        </w:tc>
        <w:tc>
          <w:tcPr>
            <w:tcW w:w="520" w:type="dxa"/>
          </w:tcPr>
          <w:p w:rsidR="002A60CD" w:rsidRPr="005F5049" w:rsidRDefault="002A60CD">
            <w:pPr>
              <w:rPr>
                <w:sz w:val="28"/>
                <w:szCs w:val="28"/>
              </w:rPr>
            </w:pPr>
          </w:p>
        </w:tc>
      </w:tr>
      <w:tr w:rsidR="005F5049" w:rsidRPr="005F5049" w:rsidTr="009D4E62">
        <w:tc>
          <w:tcPr>
            <w:tcW w:w="14879" w:type="dxa"/>
            <w:gridSpan w:val="6"/>
          </w:tcPr>
          <w:p w:rsidR="005F5049" w:rsidRPr="005F5049" w:rsidRDefault="005F5049">
            <w:pPr>
              <w:rPr>
                <w:i/>
                <w:sz w:val="28"/>
                <w:szCs w:val="28"/>
                <w:lang w:val="en-US"/>
              </w:rPr>
            </w:pPr>
            <w:r w:rsidRPr="005F5049">
              <w:rPr>
                <w:i/>
                <w:sz w:val="28"/>
                <w:szCs w:val="28"/>
                <w:lang w:val="en-US"/>
              </w:rPr>
              <w:t>Eubacteria</w:t>
            </w:r>
          </w:p>
        </w:tc>
      </w:tr>
      <w:tr w:rsidR="002A60CD" w:rsidRPr="005F5049" w:rsidTr="00694379">
        <w:tc>
          <w:tcPr>
            <w:tcW w:w="3494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sz w:val="28"/>
                <w:szCs w:val="28"/>
                <w:lang w:val="en-US"/>
              </w:rPr>
              <w:t>RyR</w:t>
            </w:r>
            <w:proofErr w:type="spellEnd"/>
          </w:p>
        </w:tc>
        <w:tc>
          <w:tcPr>
            <w:tcW w:w="2711" w:type="dxa"/>
          </w:tcPr>
          <w:p w:rsidR="002A60CD" w:rsidRPr="005F5049" w:rsidRDefault="002A60CD" w:rsidP="00D42AA0">
            <w:pPr>
              <w:rPr>
                <w:sz w:val="28"/>
                <w:szCs w:val="28"/>
              </w:rPr>
            </w:pPr>
            <w:proofErr w:type="spellStart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>Rubrobacter</w:t>
            </w:r>
            <w:proofErr w:type="spellEnd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>xylanophilus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21" w:type="dxa"/>
          </w:tcPr>
          <w:p w:rsidR="002A60CD" w:rsidRPr="005F5049" w:rsidRDefault="002E424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2017, </w:t>
            </w:r>
            <w:r w:rsidR="002A60CD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gram-positive thermophilic </w:t>
            </w:r>
            <w:proofErr w:type="spellStart"/>
            <w:r w:rsidR="002A60CD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eubacterium</w:t>
            </w:r>
            <w:proofErr w:type="spellEnd"/>
            <w:r w:rsidR="002A60CD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2A60CD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optimumpH</w:t>
            </w:r>
            <w:proofErr w:type="spellEnd"/>
            <w:r w:rsidR="002A60CD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7.5–8.0 and 60 °C</w:t>
            </w:r>
          </w:p>
        </w:tc>
        <w:tc>
          <w:tcPr>
            <w:tcW w:w="2831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PR</w:t>
            </w:r>
          </w:p>
          <w:p w:rsidR="00694379" w:rsidRPr="005F5049" w:rsidRDefault="00694379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Proteorhodopsin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11" w:type="dxa"/>
          </w:tcPr>
          <w:p w:rsidR="00E8750D" w:rsidRPr="005F5049" w:rsidRDefault="005F5049">
            <w:pPr>
              <w:rPr>
                <w:rStyle w:val="a4"/>
                <w:i w:val="0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Gamma-proteobacterium</w:t>
            </w:r>
            <w:proofErr w:type="spellEnd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Hot</w:t>
            </w:r>
            <w:proofErr w:type="spellEnd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 xml:space="preserve"> 75m4</w:t>
            </w:r>
          </w:p>
        </w:tc>
        <w:tc>
          <w:tcPr>
            <w:tcW w:w="2721" w:type="dxa"/>
          </w:tcPr>
          <w:p w:rsidR="00E8750D" w:rsidRPr="005F5049" w:rsidRDefault="002E424D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2000</w:t>
            </w:r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proofErr w:type="spellStart"/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</w:rPr>
              <w:t>eubacterial</w:t>
            </w:r>
            <w:proofErr w:type="spellEnd"/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</w:rPr>
              <w:t>marine</w:t>
            </w:r>
            <w:proofErr w:type="spellEnd"/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694379" w:rsidRPr="005F5049">
              <w:rPr>
                <w:color w:val="000000"/>
                <w:sz w:val="28"/>
                <w:szCs w:val="28"/>
                <w:shd w:val="clear" w:color="auto" w:fill="FFFFFF"/>
              </w:rPr>
              <w:t>bacterioplankton</w:t>
            </w:r>
            <w:proofErr w:type="spellEnd"/>
          </w:p>
        </w:tc>
        <w:tc>
          <w:tcPr>
            <w:tcW w:w="283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XR</w:t>
            </w:r>
          </w:p>
          <w:p w:rsidR="00694379" w:rsidRPr="005F5049" w:rsidRDefault="00694379">
            <w:pPr>
              <w:rPr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Xanthorhodopsin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11" w:type="dxa"/>
          </w:tcPr>
          <w:p w:rsidR="00E8750D" w:rsidRPr="005F5049" w:rsidRDefault="00D42AA0">
            <w:pPr>
              <w:rPr>
                <w:rStyle w:val="a4"/>
                <w:i w:val="0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Salinibacter</w:t>
            </w:r>
            <w:proofErr w:type="spellEnd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ruber</w:t>
            </w:r>
            <w:proofErr w:type="spellEnd"/>
          </w:p>
        </w:tc>
        <w:tc>
          <w:tcPr>
            <w:tcW w:w="2721" w:type="dxa"/>
          </w:tcPr>
          <w:p w:rsidR="00E8750D" w:rsidRPr="005F5049" w:rsidRDefault="00694379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2005, </w:t>
            </w: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halophile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eubacterial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>Salinibacter</w:t>
            </w:r>
            <w:proofErr w:type="spellEnd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  <w:t>ruber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831" w:type="dxa"/>
          </w:tcPr>
          <w:p w:rsidR="00E8750D" w:rsidRPr="005F5049" w:rsidRDefault="00D42AA0" w:rsidP="00D42AA0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5F5049">
              <w:rPr>
                <w:rFonts w:cs="Helvetica"/>
                <w:color w:val="333333"/>
                <w:sz w:val="28"/>
                <w:szCs w:val="28"/>
              </w:rPr>
              <w:t>3DDL</w:t>
            </w: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TR</w:t>
            </w:r>
          </w:p>
        </w:tc>
        <w:tc>
          <w:tcPr>
            <w:tcW w:w="2711" w:type="dxa"/>
          </w:tcPr>
          <w:p w:rsidR="00E8750D" w:rsidRPr="005F5049" w:rsidRDefault="00E8750D">
            <w:pPr>
              <w:rPr>
                <w:rStyle w:val="a4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21" w:type="dxa"/>
          </w:tcPr>
          <w:p w:rsidR="00E8750D" w:rsidRPr="005F5049" w:rsidRDefault="002E424D">
            <w:pP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2000</w:t>
            </w:r>
          </w:p>
        </w:tc>
        <w:tc>
          <w:tcPr>
            <w:tcW w:w="283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14879" w:type="dxa"/>
            <w:gridSpan w:val="6"/>
          </w:tcPr>
          <w:p w:rsidR="00E8750D" w:rsidRPr="005F5049" w:rsidRDefault="00E8750D">
            <w:pPr>
              <w:rPr>
                <w:i/>
                <w:sz w:val="28"/>
                <w:szCs w:val="28"/>
                <w:lang w:val="en-US"/>
              </w:rPr>
            </w:pPr>
            <w:r w:rsidRPr="005F5049">
              <w:rPr>
                <w:i/>
                <w:sz w:val="28"/>
                <w:szCs w:val="28"/>
                <w:lang w:val="en-US"/>
              </w:rPr>
              <w:t>Archaea</w:t>
            </w:r>
          </w:p>
        </w:tc>
      </w:tr>
      <w:tr w:rsidR="002A60CD" w:rsidRPr="005F5049" w:rsidTr="00694379">
        <w:tc>
          <w:tcPr>
            <w:tcW w:w="3494" w:type="dxa"/>
          </w:tcPr>
          <w:p w:rsidR="002A60CD" w:rsidRPr="005F5049" w:rsidRDefault="00677B37" w:rsidP="00677B3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HsBR</w:t>
            </w:r>
            <w:proofErr w:type="spellEnd"/>
          </w:p>
        </w:tc>
        <w:tc>
          <w:tcPr>
            <w:tcW w:w="2711" w:type="dxa"/>
          </w:tcPr>
          <w:p w:rsidR="002A60CD" w:rsidRPr="005F5049" w:rsidRDefault="002A60CD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2A60CD" w:rsidRPr="005F5049" w:rsidRDefault="002E424D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1971</w:t>
            </w:r>
          </w:p>
        </w:tc>
        <w:tc>
          <w:tcPr>
            <w:tcW w:w="2831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2A60CD" w:rsidRPr="005F5049" w:rsidRDefault="002A60C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 w:rsidP="00677B3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AR3</w:t>
            </w:r>
          </w:p>
        </w:tc>
        <w:tc>
          <w:tcPr>
            <w:tcW w:w="2711" w:type="dxa"/>
          </w:tcPr>
          <w:p w:rsidR="00E8750D" w:rsidRPr="005F5049" w:rsidRDefault="00E8750D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 w:rsidP="00677B3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11" w:type="dxa"/>
          </w:tcPr>
          <w:p w:rsidR="00E8750D" w:rsidRPr="005F5049" w:rsidRDefault="00E8750D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1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E8750D" w:rsidRPr="005F5049" w:rsidTr="00694379">
        <w:tc>
          <w:tcPr>
            <w:tcW w:w="3494" w:type="dxa"/>
          </w:tcPr>
          <w:p w:rsidR="00E8750D" w:rsidRPr="005F5049" w:rsidRDefault="00E8750D" w:rsidP="00677B3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SRI </w:t>
            </w:r>
          </w:p>
          <w:p w:rsidR="00694379" w:rsidRPr="005F5049" w:rsidRDefault="00694379" w:rsidP="00677B37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sensory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rhodopsin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-I</w:t>
            </w:r>
          </w:p>
        </w:tc>
        <w:tc>
          <w:tcPr>
            <w:tcW w:w="2711" w:type="dxa"/>
          </w:tcPr>
          <w:p w:rsidR="00E8750D" w:rsidRPr="005F5049" w:rsidRDefault="00E8750D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E8750D" w:rsidRPr="005F5049" w:rsidRDefault="0069437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 xml:space="preserve">Positive </w:t>
            </w:r>
            <w:proofErr w:type="spellStart"/>
            <w:r w:rsidRPr="005F5049">
              <w:rPr>
                <w:sz w:val="28"/>
                <w:szCs w:val="28"/>
                <w:lang w:val="en-US"/>
              </w:rPr>
              <w:t>phototaxis</w:t>
            </w:r>
            <w:proofErr w:type="spellEnd"/>
          </w:p>
        </w:tc>
        <w:tc>
          <w:tcPr>
            <w:tcW w:w="2831" w:type="dxa"/>
          </w:tcPr>
          <w:p w:rsidR="00E8750D" w:rsidRPr="005F5049" w:rsidRDefault="00C1003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???</w:t>
            </w:r>
          </w:p>
        </w:tc>
        <w:tc>
          <w:tcPr>
            <w:tcW w:w="2602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E8750D" w:rsidRPr="005F5049" w:rsidRDefault="00E8750D">
            <w:pPr>
              <w:rPr>
                <w:sz w:val="28"/>
                <w:szCs w:val="28"/>
                <w:lang w:val="en-US"/>
              </w:rPr>
            </w:pPr>
          </w:p>
        </w:tc>
      </w:tr>
      <w:tr w:rsidR="00A57E4C" w:rsidRPr="005F5049" w:rsidTr="00694379">
        <w:tc>
          <w:tcPr>
            <w:tcW w:w="3494" w:type="dxa"/>
          </w:tcPr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SRII </w:t>
            </w:r>
          </w:p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sensory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rhodopsin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-II</w:t>
            </w:r>
          </w:p>
        </w:tc>
        <w:tc>
          <w:tcPr>
            <w:tcW w:w="2711" w:type="dxa"/>
          </w:tcPr>
          <w:p w:rsidR="00A57E4C" w:rsidRPr="005F5049" w:rsidRDefault="00A57E4C" w:rsidP="00A57E4C">
            <w:pPr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Natronomonas</w:t>
            </w:r>
            <w:proofErr w:type="spellEnd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pharaonis</w:t>
            </w:r>
            <w:proofErr w:type="spellEnd"/>
          </w:p>
        </w:tc>
        <w:tc>
          <w:tcPr>
            <w:tcW w:w="272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 xml:space="preserve">Negative </w:t>
            </w:r>
            <w:proofErr w:type="spellStart"/>
            <w:r w:rsidRPr="005F5049">
              <w:rPr>
                <w:sz w:val="28"/>
                <w:szCs w:val="28"/>
                <w:lang w:val="en-US"/>
              </w:rPr>
              <w:t>phototaxis</w:t>
            </w:r>
            <w:proofErr w:type="spellEnd"/>
          </w:p>
        </w:tc>
        <w:tc>
          <w:tcPr>
            <w:tcW w:w="283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3QAP</w:t>
            </w:r>
          </w:p>
        </w:tc>
        <w:tc>
          <w:tcPr>
            <w:tcW w:w="2602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</w:tr>
      <w:tr w:rsidR="00A57E4C" w:rsidRPr="005F5049" w:rsidTr="00694379">
        <w:tc>
          <w:tcPr>
            <w:tcW w:w="3494" w:type="dxa"/>
          </w:tcPr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cationchannelrhodopsins</w:t>
            </w:r>
            <w:proofErr w:type="spellEnd"/>
          </w:p>
        </w:tc>
        <w:tc>
          <w:tcPr>
            <w:tcW w:w="2711" w:type="dxa"/>
          </w:tcPr>
          <w:p w:rsidR="00A57E4C" w:rsidRPr="005F5049" w:rsidRDefault="00A57E4C" w:rsidP="00A57E4C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</w:tr>
      <w:tr w:rsidR="00A57E4C" w:rsidRPr="005F5049" w:rsidTr="00694379">
        <w:tc>
          <w:tcPr>
            <w:tcW w:w="3494" w:type="dxa"/>
          </w:tcPr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anionchannelrhodopsins</w:t>
            </w:r>
            <w:proofErr w:type="spellEnd"/>
          </w:p>
        </w:tc>
        <w:tc>
          <w:tcPr>
            <w:tcW w:w="2711" w:type="dxa"/>
          </w:tcPr>
          <w:p w:rsidR="00A57E4C" w:rsidRPr="005F5049" w:rsidRDefault="00A57E4C" w:rsidP="00C10039">
            <w:pPr>
              <w:rPr>
                <w:b/>
                <w:i/>
                <w:sz w:val="28"/>
                <w:szCs w:val="28"/>
                <w:lang w:val="en-US"/>
              </w:rPr>
            </w:pPr>
            <w:r w:rsidRPr="005F5049">
              <w:rPr>
                <w:rStyle w:val="a5"/>
                <w:rFonts w:cs="Helvetica"/>
                <w:b w:val="0"/>
                <w:i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2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3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02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</w:tr>
      <w:tr w:rsidR="00A57E4C" w:rsidRPr="005F5049" w:rsidTr="00694379">
        <w:tc>
          <w:tcPr>
            <w:tcW w:w="3494" w:type="dxa"/>
          </w:tcPr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ASR </w:t>
            </w:r>
          </w:p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rFonts w:cs="Arial"/>
                <w:sz w:val="28"/>
                <w:szCs w:val="28"/>
                <w:lang w:val="en"/>
              </w:rPr>
              <w:t>Anabaena sensory rhodopsin</w:t>
            </w:r>
          </w:p>
        </w:tc>
        <w:tc>
          <w:tcPr>
            <w:tcW w:w="2711" w:type="dxa"/>
          </w:tcPr>
          <w:p w:rsidR="00A57E4C" w:rsidRPr="005F5049" w:rsidRDefault="00A57E4C" w:rsidP="00A57E4C">
            <w:pPr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2721" w:type="dxa"/>
          </w:tcPr>
          <w:p w:rsidR="00A57E4C" w:rsidRPr="005F5049" w:rsidRDefault="00C10039" w:rsidP="00A57E4C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2004</w:t>
            </w:r>
          </w:p>
        </w:tc>
        <w:tc>
          <w:tcPr>
            <w:tcW w:w="2831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1XIO</w:t>
            </w:r>
          </w:p>
        </w:tc>
        <w:tc>
          <w:tcPr>
            <w:tcW w:w="2602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</w:tr>
      <w:tr w:rsidR="00A57E4C" w:rsidRPr="005F5049" w:rsidTr="00C10039">
        <w:trPr>
          <w:trHeight w:val="1033"/>
        </w:trPr>
        <w:tc>
          <w:tcPr>
            <w:tcW w:w="3494" w:type="dxa"/>
          </w:tcPr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HR </w:t>
            </w:r>
          </w:p>
          <w:p w:rsidR="00A57E4C" w:rsidRPr="005F5049" w:rsidRDefault="00A57E4C" w:rsidP="00A57E4C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halorhodopsin</w:t>
            </w:r>
            <w:proofErr w:type="spellEnd"/>
            <w:r w:rsidRPr="005F5049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711" w:type="dxa"/>
          </w:tcPr>
          <w:p w:rsidR="00A57E4C" w:rsidRPr="005F5049" w:rsidRDefault="00C10039" w:rsidP="00A57E4C">
            <w:pPr>
              <w:rPr>
                <w:i/>
                <w:sz w:val="28"/>
                <w:szCs w:val="28"/>
                <w:lang w:val="en-US"/>
              </w:rPr>
            </w:pP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Halobacterium</w:t>
            </w:r>
            <w:proofErr w:type="spellEnd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F5049">
              <w:rPr>
                <w:rFonts w:cs="Helvetica"/>
                <w:bCs/>
                <w:i/>
                <w:sz w:val="28"/>
                <w:szCs w:val="28"/>
                <w:shd w:val="clear" w:color="auto" w:fill="FFFFFF"/>
              </w:rPr>
              <w:t>salinarum</w:t>
            </w:r>
            <w:proofErr w:type="spellEnd"/>
          </w:p>
        </w:tc>
        <w:tc>
          <w:tcPr>
            <w:tcW w:w="2721" w:type="dxa"/>
          </w:tcPr>
          <w:p w:rsidR="00A57E4C" w:rsidRPr="005F5049" w:rsidRDefault="00C10039" w:rsidP="00A57E4C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2015</w:t>
            </w:r>
          </w:p>
        </w:tc>
        <w:tc>
          <w:tcPr>
            <w:tcW w:w="2831" w:type="dxa"/>
          </w:tcPr>
          <w:p w:rsidR="00C10039" w:rsidRPr="005F5049" w:rsidRDefault="00C10039" w:rsidP="00C1003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1E12</w:t>
            </w:r>
          </w:p>
          <w:p w:rsidR="00A57E4C" w:rsidRPr="005F5049" w:rsidRDefault="00C10039" w:rsidP="00C1003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5AHZ</w:t>
            </w:r>
          </w:p>
        </w:tc>
        <w:tc>
          <w:tcPr>
            <w:tcW w:w="2602" w:type="dxa"/>
          </w:tcPr>
          <w:p w:rsidR="00C10039" w:rsidRPr="005F5049" w:rsidRDefault="00C10039" w:rsidP="00C1003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Cl-</w:t>
            </w:r>
          </w:p>
          <w:p w:rsidR="00A57E4C" w:rsidRPr="005F5049" w:rsidRDefault="00C10039" w:rsidP="00C10039">
            <w:pPr>
              <w:rPr>
                <w:sz w:val="28"/>
                <w:szCs w:val="28"/>
                <w:lang w:val="en-US"/>
              </w:rPr>
            </w:pPr>
            <w:r w:rsidRPr="005F5049">
              <w:rPr>
                <w:sz w:val="28"/>
                <w:szCs w:val="28"/>
                <w:lang w:val="en-US"/>
              </w:rPr>
              <w:t>Br-</w:t>
            </w:r>
          </w:p>
        </w:tc>
        <w:tc>
          <w:tcPr>
            <w:tcW w:w="520" w:type="dxa"/>
          </w:tcPr>
          <w:p w:rsidR="00A57E4C" w:rsidRPr="005F5049" w:rsidRDefault="00A57E4C" w:rsidP="00A57E4C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620707" w:rsidRPr="005F5049" w:rsidRDefault="00620707">
      <w:pPr>
        <w:rPr>
          <w:sz w:val="28"/>
          <w:szCs w:val="28"/>
          <w:lang w:val="en-US"/>
        </w:rPr>
      </w:pPr>
    </w:p>
    <w:p w:rsidR="002A60CD" w:rsidRPr="005F5049" w:rsidRDefault="00677B37">
      <w:pPr>
        <w:rPr>
          <w:sz w:val="28"/>
          <w:szCs w:val="28"/>
          <w:lang w:val="en-US"/>
        </w:rPr>
      </w:pPr>
      <w:r w:rsidRPr="005F5049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67375" cy="494985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91" cy="49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CD" w:rsidRPr="005F5049" w:rsidRDefault="002A60CD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Arg71 (Arg82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Asp74 (Asp85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Thr78 (Thr89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Asp85 (Asp96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Glu187 (Glu194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Glu197 (Glu204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), Asp205 (Asp212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) and Lys209 (Lys216 in </w:t>
      </w:r>
      <w:proofErr w:type="spell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HsBR</w:t>
      </w:r>
      <w:proofErr w:type="spellEnd"/>
      <w:r w:rsidRPr="005F5049">
        <w:rPr>
          <w:color w:val="000000"/>
          <w:sz w:val="28"/>
          <w:szCs w:val="28"/>
          <w:shd w:val="clear" w:color="auto" w:fill="FFFFFF"/>
          <w:lang w:val="en-US"/>
        </w:rPr>
        <w:t>) </w:t>
      </w:r>
    </w:p>
    <w:p w:rsidR="002E424D" w:rsidRPr="005F5049" w:rsidRDefault="002E424D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It </w:t>
      </w:r>
      <w:proofErr w:type="gramStart"/>
      <w:r w:rsidRPr="005F5049">
        <w:rPr>
          <w:color w:val="000000"/>
          <w:sz w:val="28"/>
          <w:szCs w:val="28"/>
          <w:shd w:val="clear" w:color="auto" w:fill="FFFFFF"/>
          <w:lang w:val="en-US"/>
        </w:rPr>
        <w:t>was taken</w:t>
      </w:r>
      <w:proofErr w:type="gramEnd"/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 from </w:t>
      </w:r>
      <w:hyperlink r:id="rId5" w:history="1"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https://www.ncbi.nlm.n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i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h.gov/p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m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c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/articles/PMC53</w:t>
        </w:r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49596/</w:t>
        </w:r>
      </w:hyperlink>
      <w:r w:rsidRPr="005F5049">
        <w:rPr>
          <w:color w:val="000000"/>
          <w:sz w:val="28"/>
          <w:szCs w:val="28"/>
          <w:shd w:val="clear" w:color="auto" w:fill="FFFFFF"/>
          <w:lang w:val="en-US"/>
        </w:rPr>
        <w:t xml:space="preserve"> (very interesting conclusions). </w:t>
      </w:r>
    </w:p>
    <w:p w:rsidR="002E424D" w:rsidRPr="005F5049" w:rsidRDefault="002E424D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5F5049">
        <w:rPr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Residues and their functions </w:t>
      </w:r>
      <w:hyperlink r:id="rId6" w:history="1">
        <w:r w:rsidRPr="005F5049">
          <w:rPr>
            <w:rStyle w:val="a6"/>
            <w:sz w:val="28"/>
            <w:szCs w:val="28"/>
            <w:shd w:val="clear" w:color="auto" w:fill="FFFFFF"/>
            <w:lang w:val="en-US"/>
          </w:rPr>
          <w:t>https://www.ncbi.nlm.nih.gov/pmc/articles/PMC4915679/figure/pone.0156543.g003/</w:t>
        </w:r>
      </w:hyperlink>
    </w:p>
    <w:p w:rsidR="002E424D" w:rsidRPr="005F5049" w:rsidRDefault="002E424D">
      <w:pPr>
        <w:rPr>
          <w:color w:val="000000"/>
          <w:sz w:val="28"/>
          <w:szCs w:val="28"/>
          <w:shd w:val="clear" w:color="auto" w:fill="FFFFFF"/>
          <w:lang w:val="en-US"/>
        </w:rPr>
      </w:pPr>
      <w:r w:rsidRPr="005F5049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249272" cy="486795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4D" w:rsidRPr="005F5049" w:rsidRDefault="002E424D">
      <w:pPr>
        <w:rPr>
          <w:color w:val="666666"/>
          <w:sz w:val="28"/>
          <w:szCs w:val="28"/>
          <w:shd w:val="clear" w:color="auto" w:fill="FFFCF0"/>
          <w:lang w:val="en-US"/>
        </w:rPr>
      </w:pPr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The classical four microbial </w:t>
      </w:r>
      <w:proofErr w:type="spellStart"/>
      <w:r w:rsidRPr="005F5049">
        <w:rPr>
          <w:color w:val="666666"/>
          <w:sz w:val="28"/>
          <w:szCs w:val="28"/>
          <w:shd w:val="clear" w:color="auto" w:fill="FFFCF0"/>
          <w:lang w:val="en-US"/>
        </w:rPr>
        <w:t>rhodopsins</w:t>
      </w:r>
      <w:proofErr w:type="spellEnd"/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 from the archaeon </w:t>
      </w:r>
      <w:proofErr w:type="spellStart"/>
      <w:r w:rsidRPr="005F5049">
        <w:rPr>
          <w:color w:val="666666"/>
          <w:sz w:val="28"/>
          <w:szCs w:val="28"/>
          <w:shd w:val="clear" w:color="auto" w:fill="FFFCF0"/>
          <w:lang w:val="en-US"/>
        </w:rPr>
        <w:t>Halobacterium</w:t>
      </w:r>
      <w:proofErr w:type="spellEnd"/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 </w:t>
      </w:r>
      <w:proofErr w:type="spellStart"/>
      <w:r w:rsidRPr="005F5049">
        <w:rPr>
          <w:color w:val="666666"/>
          <w:sz w:val="28"/>
          <w:szCs w:val="28"/>
          <w:shd w:val="clear" w:color="auto" w:fill="FFFCF0"/>
          <w:lang w:val="en-US"/>
        </w:rPr>
        <w:t>salinarum</w:t>
      </w:r>
      <w:proofErr w:type="spellEnd"/>
      <w:r w:rsidRPr="005F5049">
        <w:rPr>
          <w:color w:val="666666"/>
          <w:sz w:val="28"/>
          <w:szCs w:val="28"/>
          <w:shd w:val="clear" w:color="auto" w:fill="FFFCF0"/>
          <w:lang w:val="en-US"/>
        </w:rPr>
        <w:t>.</w:t>
      </w:r>
      <w:r w:rsidR="007C6E20"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 (</w:t>
      </w:r>
      <w:hyperlink r:id="rId8" w:history="1">
        <w:r w:rsidR="007C6E20" w:rsidRPr="005F5049">
          <w:rPr>
            <w:rStyle w:val="a6"/>
            <w:sz w:val="28"/>
            <w:szCs w:val="28"/>
            <w:shd w:val="clear" w:color="auto" w:fill="FFFCF0"/>
            <w:lang w:val="en-US"/>
          </w:rPr>
          <w:t>https://www.ncbi.nlm.nih.gov/pmc/articles/PMC4736836/</w:t>
        </w:r>
      </w:hyperlink>
      <w:r w:rsidR="007C6E20" w:rsidRPr="005F5049">
        <w:rPr>
          <w:color w:val="666666"/>
          <w:sz w:val="28"/>
          <w:szCs w:val="28"/>
          <w:shd w:val="clear" w:color="auto" w:fill="FFFCF0"/>
          <w:lang w:val="en-US"/>
        </w:rPr>
        <w:t>).</w:t>
      </w:r>
    </w:p>
    <w:p w:rsidR="007C6E20" w:rsidRPr="005F5049" w:rsidRDefault="007C6E20">
      <w:pPr>
        <w:rPr>
          <w:color w:val="666666"/>
          <w:sz w:val="28"/>
          <w:szCs w:val="28"/>
          <w:shd w:val="clear" w:color="auto" w:fill="FFFCF0"/>
          <w:lang w:val="en-US"/>
        </w:rPr>
      </w:pPr>
      <w:hyperlink r:id="rId9" w:history="1">
        <w:r w:rsidRPr="005F5049">
          <w:rPr>
            <w:rStyle w:val="a6"/>
            <w:sz w:val="28"/>
            <w:szCs w:val="28"/>
            <w:shd w:val="clear" w:color="auto" w:fill="FFFCF0"/>
            <w:lang w:val="en-US"/>
          </w:rPr>
          <w:t>https://www.ncbi.nlm.nih.gov/pmc/articles/PMC4736836/table/t1-12_121/?report=objectonly</w:t>
        </w:r>
      </w:hyperlink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 – new types of </w:t>
      </w:r>
      <w:proofErr w:type="spellStart"/>
      <w:r w:rsidRPr="005F5049">
        <w:rPr>
          <w:color w:val="666666"/>
          <w:sz w:val="28"/>
          <w:szCs w:val="28"/>
          <w:shd w:val="clear" w:color="auto" w:fill="FFFCF0"/>
          <w:lang w:val="en-US"/>
        </w:rPr>
        <w:t>rhodopsins</w:t>
      </w:r>
      <w:proofErr w:type="spellEnd"/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. </w:t>
      </w:r>
    </w:p>
    <w:p w:rsidR="00C10039" w:rsidRPr="005F5049" w:rsidRDefault="00C10039">
      <w:pPr>
        <w:rPr>
          <w:color w:val="666666"/>
          <w:sz w:val="28"/>
          <w:szCs w:val="28"/>
          <w:shd w:val="clear" w:color="auto" w:fill="FFFCF0"/>
          <w:lang w:val="en-US"/>
        </w:rPr>
      </w:pPr>
      <w:hyperlink r:id="rId10" w:history="1">
        <w:r w:rsidRPr="005F5049">
          <w:rPr>
            <w:rStyle w:val="a6"/>
            <w:sz w:val="28"/>
            <w:szCs w:val="28"/>
            <w:shd w:val="clear" w:color="auto" w:fill="FFFCF0"/>
            <w:lang w:val="en-US"/>
          </w:rPr>
          <w:t>https://www.ncbi.nlm.nih.gov/pmc/articles/PMC4933271/</w:t>
        </w:r>
      </w:hyperlink>
      <w:r w:rsidRPr="005F5049">
        <w:rPr>
          <w:color w:val="666666"/>
          <w:sz w:val="28"/>
          <w:szCs w:val="28"/>
          <w:shd w:val="clear" w:color="auto" w:fill="FFFCF0"/>
          <w:lang w:val="en-US"/>
        </w:rPr>
        <w:t xml:space="preserve"> - about thermophilic stability </w:t>
      </w:r>
    </w:p>
    <w:p w:rsidR="007C6E20" w:rsidRPr="005F5049" w:rsidRDefault="007C6E20">
      <w:pPr>
        <w:rPr>
          <w:color w:val="000000"/>
          <w:sz w:val="28"/>
          <w:szCs w:val="28"/>
          <w:shd w:val="clear" w:color="auto" w:fill="FFFFFF"/>
          <w:lang w:val="en-US"/>
        </w:rPr>
      </w:pPr>
    </w:p>
    <w:p w:rsidR="002E424D" w:rsidRPr="002A60CD" w:rsidRDefault="002E424D">
      <w:pPr>
        <w:rPr>
          <w:lang w:val="en-US"/>
        </w:rPr>
      </w:pPr>
    </w:p>
    <w:sectPr w:rsidR="002E424D" w:rsidRPr="002A60CD" w:rsidSect="002A60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F2"/>
    <w:rsid w:val="002A60CD"/>
    <w:rsid w:val="002E424D"/>
    <w:rsid w:val="005F5049"/>
    <w:rsid w:val="00620707"/>
    <w:rsid w:val="00677B37"/>
    <w:rsid w:val="00694379"/>
    <w:rsid w:val="007C6E20"/>
    <w:rsid w:val="00A57E4C"/>
    <w:rsid w:val="00AD58F2"/>
    <w:rsid w:val="00C10039"/>
    <w:rsid w:val="00D42AA0"/>
    <w:rsid w:val="00E8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D8C79-5AF0-41EF-9F89-9E9F605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4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2A60CD"/>
    <w:rPr>
      <w:i/>
      <w:iCs/>
    </w:rPr>
  </w:style>
  <w:style w:type="character" w:styleId="a5">
    <w:name w:val="Strong"/>
    <w:basedOn w:val="a0"/>
    <w:uiPriority w:val="22"/>
    <w:qFormat/>
    <w:rsid w:val="002A60CD"/>
    <w:rPr>
      <w:b/>
      <w:bCs/>
    </w:rPr>
  </w:style>
  <w:style w:type="character" w:styleId="a6">
    <w:name w:val="Hyperlink"/>
    <w:basedOn w:val="a0"/>
    <w:uiPriority w:val="99"/>
    <w:unhideWhenUsed/>
    <w:rsid w:val="002E424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42A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FollowedHyperlink"/>
    <w:basedOn w:val="a0"/>
    <w:uiPriority w:val="99"/>
    <w:semiHidden/>
    <w:unhideWhenUsed/>
    <w:rsid w:val="00A5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736836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4915679/figure/pone.0156543.g00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5349596/" TargetMode="External"/><Relationship Id="rId10" Type="http://schemas.openxmlformats.org/officeDocument/2006/relationships/hyperlink" Target="https://www.ncbi.nlm.nih.gov/pmc/articles/PMC4933271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ncbi.nlm.nih.gov/pmc/articles/PMC4736836/table/t1-12_121/?report=objecton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</dc:creator>
  <cp:keywords/>
  <dc:description/>
  <cp:lastModifiedBy>Малыш</cp:lastModifiedBy>
  <cp:revision>2</cp:revision>
  <dcterms:created xsi:type="dcterms:W3CDTF">2018-04-02T15:00:00Z</dcterms:created>
  <dcterms:modified xsi:type="dcterms:W3CDTF">2018-04-02T18:54:00Z</dcterms:modified>
</cp:coreProperties>
</file>