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line="235" w:lineRule="auto"/>
      </w:pPr>
      <w:r>
        <w:rPr>
          <w:rFonts w:ascii="Aptos" w:hAnsi="Aptos"/>
          <w:b/>
          <w:color w:val="000000"/>
          <w:sz w:val="46"/>
        </w:rPr>
        <w:t>First Month Progress Report</w:t>
      </w:r>
    </w:p>
    <w:p>
      <w:pPr>
        <w:spacing w:after="120"/>
      </w:pPr>
      <w:r>
        <w:rPr>
          <w:rFonts w:ascii="Aptos" w:hAnsi="Aptos"/>
          <w:b/>
          <w:color w:val="C9851C"/>
          <w:sz w:val="21"/>
        </w:rPr>
        <w:t>September 2026</w:t>
      </w:r>
    </w:p>
    <w:p>
      <w:pPr>
        <w:spacing w:after="140" w:line="264" w:lineRule="auto"/>
      </w:pPr>
      <w:r>
        <w:rPr>
          <w:rFonts w:ascii="Aptos" w:hAnsi="Aptos"/>
          <w:b w:val="0"/>
          <w:color w:val="2F3A42"/>
          <w:sz w:val="20"/>
        </w:rPr>
        <w:t>This first month focused on building a stronger online foundation for Quality Sweets. The work completed makes it easier for customers to find the business, understand the offer, and take the next step online. We will begin tracking results as the new foundation has time to take effect.</w:t>
      </w:r>
    </w:p>
    <w:p>
      <w:pPr>
        <w:spacing w:before="180" w:after="80"/>
      </w:pPr>
      <w:r>
        <w:rPr>
          <w:rFonts w:ascii="Aptos" w:hAnsi="Aptos"/>
          <w:b/>
          <w:color w:val="000000"/>
          <w:sz w:val="26"/>
        </w:rPr>
        <w:t>What we put in place</w:t>
      </w:r>
    </w:p>
    <w:tbl>
      <w:tblPr>
        <w:tblW w:type="auto" w:w="0"/>
        <w:jc w:val="center"/>
        <w:tblLayout w:type="fixed"/>
        <w:tblLook w:firstColumn="1" w:firstRow="1" w:lastColumn="0" w:lastRow="0" w:noHBand="0" w:noVBand="1" w:val="04A0"/>
      </w:tblPr>
      <w:tblGrid>
        <w:gridCol w:w="5141"/>
        <w:gridCol w:w="5141"/>
      </w:tblGrid>
      <w:tr>
        <w:tc>
          <w:tcPr>
            <w:tcW w:type="dxa" w:w="4953"/>
            <w:shd w:fill="F8F0DE"/>
            <w:tcBorders>
              <w:top w:val="single" w:sz="6" w:color="D9D9D9"/>
              <w:left w:val="single" w:sz="6" w:color="D9D9D9"/>
              <w:bottom w:val="single" w:sz="6" w:color="D9D9D9"/>
              <w:right w:val="single" w:sz="6" w:color="D9D9D9"/>
            </w:tcBorders>
            <w:tcMar>
              <w:top w:w="130" w:type="dxa"/>
              <w:start w:w="145" w:type="dxa"/>
              <w:bottom w:w="125" w:type="dxa"/>
              <w:end w:w="145" w:type="dxa"/>
            </w:tcMar>
            <w:vAlign w:val="center"/>
          </w:tcPr>
          <w:p>
            <w:pPr>
              <w:spacing w:after="40"/>
            </w:pPr>
            <w:r>
              <w:rPr>
                <w:rFonts w:ascii="Aptos" w:hAnsi="Aptos"/>
                <w:b/>
                <w:color w:val="24323D"/>
                <w:sz w:val="20"/>
              </w:rPr>
              <w:t>Clearer website journey</w:t>
            </w:r>
          </w:p>
          <w:p>
            <w:pPr>
              <w:spacing w:after="0" w:line="247" w:lineRule="auto"/>
            </w:pPr>
            <w:r>
              <w:rPr>
                <w:rFonts w:ascii="Aptos" w:hAnsi="Aptos"/>
                <w:b w:val="0"/>
                <w:color w:val="374151"/>
                <w:sz w:val="17"/>
              </w:rPr>
              <w:t>A simpler path from the homepage to sweets, takeout, local pickup and catering.</w:t>
            </w:r>
          </w:p>
        </w:tc>
        <w:tc>
          <w:tcPr>
            <w:tcW w:type="dxa" w:w="4953"/>
            <w:shd w:fill="EDF3F6"/>
            <w:tcBorders>
              <w:top w:val="single" w:sz="6" w:color="D9D9D9"/>
              <w:left w:val="single" w:sz="6" w:color="D9D9D9"/>
              <w:bottom w:val="single" w:sz="6" w:color="D9D9D9"/>
              <w:right w:val="single" w:sz="6" w:color="D9D9D9"/>
            </w:tcBorders>
            <w:tcMar>
              <w:top w:w="130" w:type="dxa"/>
              <w:start w:w="145" w:type="dxa"/>
              <w:bottom w:w="125" w:type="dxa"/>
              <w:end w:w="145" w:type="dxa"/>
            </w:tcMar>
            <w:vAlign w:val="center"/>
          </w:tcPr>
          <w:p>
            <w:pPr>
              <w:spacing w:after="40"/>
            </w:pPr>
            <w:r>
              <w:rPr>
                <w:rFonts w:ascii="Aptos" w:hAnsi="Aptos"/>
                <w:b/>
                <w:color w:val="24323D"/>
                <w:sz w:val="20"/>
              </w:rPr>
              <w:t>Cleaner product catalogue</w:t>
            </w:r>
          </w:p>
          <w:p>
            <w:pPr>
              <w:spacing w:after="0" w:line="247" w:lineRule="auto"/>
            </w:pPr>
            <w:r>
              <w:rPr>
                <w:rFonts w:ascii="Aptos" w:hAnsi="Aptos"/>
                <w:b w:val="0"/>
                <w:color w:val="374151"/>
                <w:sz w:val="17"/>
              </w:rPr>
              <w:t>Product names, page addresses and old links were cleaned up to reduce confusion.</w:t>
            </w:r>
          </w:p>
        </w:tc>
      </w:tr>
      <w:tr>
        <w:tc>
          <w:tcPr>
            <w:tcW w:type="dxa" w:w="4953"/>
            <w:shd w:fill="EAF3EC"/>
            <w:tcBorders>
              <w:top w:val="single" w:sz="6" w:color="D9D9D9"/>
              <w:left w:val="single" w:sz="6" w:color="D9D9D9"/>
              <w:bottom w:val="single" w:sz="6" w:color="D9D9D9"/>
              <w:right w:val="single" w:sz="6" w:color="D9D9D9"/>
            </w:tcBorders>
            <w:tcMar>
              <w:top w:w="130" w:type="dxa"/>
              <w:start w:w="145" w:type="dxa"/>
              <w:bottom w:w="125" w:type="dxa"/>
              <w:end w:w="145" w:type="dxa"/>
            </w:tcMar>
            <w:vAlign w:val="center"/>
          </w:tcPr>
          <w:p>
            <w:pPr>
              <w:spacing w:after="40"/>
            </w:pPr>
            <w:r>
              <w:rPr>
                <w:rFonts w:ascii="Aptos" w:hAnsi="Aptos"/>
                <w:b/>
                <w:color w:val="24323D"/>
                <w:sz w:val="20"/>
              </w:rPr>
              <w:t>Stronger local presence</w:t>
            </w:r>
          </w:p>
          <w:p>
            <w:pPr>
              <w:spacing w:after="0" w:line="247" w:lineRule="auto"/>
            </w:pPr>
            <w:r>
              <w:rPr>
                <w:rFonts w:ascii="Aptos" w:hAnsi="Aptos"/>
                <w:b w:val="0"/>
                <w:color w:val="374151"/>
                <w:sz w:val="17"/>
              </w:rPr>
              <w:t>The Google Business Profile now reflects the store, takeout service and key offerings more clearly.</w:t>
            </w:r>
          </w:p>
        </w:tc>
        <w:tc>
          <w:tcPr>
            <w:tcW w:type="dxa" w:w="4953"/>
            <w:shd w:fill="F3F4F6"/>
            <w:tcBorders>
              <w:top w:val="single" w:sz="6" w:color="D9D9D9"/>
              <w:left w:val="single" w:sz="6" w:color="D9D9D9"/>
              <w:bottom w:val="single" w:sz="6" w:color="D9D9D9"/>
              <w:right w:val="single" w:sz="6" w:color="D9D9D9"/>
            </w:tcBorders>
            <w:tcMar>
              <w:top w:w="130" w:type="dxa"/>
              <w:start w:w="145" w:type="dxa"/>
              <w:bottom w:w="125" w:type="dxa"/>
              <w:end w:w="145" w:type="dxa"/>
            </w:tcMar>
            <w:vAlign w:val="center"/>
          </w:tcPr>
          <w:p>
            <w:pPr>
              <w:spacing w:after="40"/>
            </w:pPr>
            <w:r>
              <w:rPr>
                <w:rFonts w:ascii="Aptos" w:hAnsi="Aptos"/>
                <w:b/>
                <w:color w:val="24323D"/>
                <w:sz w:val="20"/>
              </w:rPr>
              <w:t>Ready to measure progress</w:t>
            </w:r>
          </w:p>
          <w:p>
            <w:pPr>
              <w:spacing w:after="0" w:line="247" w:lineRule="auto"/>
            </w:pPr>
            <w:r>
              <w:rPr>
                <w:rFonts w:ascii="Aptos" w:hAnsi="Aptos"/>
                <w:b w:val="0"/>
                <w:color w:val="374151"/>
                <w:sz w:val="17"/>
              </w:rPr>
              <w:t>Tracking is in place so upcoming reports can focus on meaningful customer actions.</w:t>
            </w:r>
          </w:p>
        </w:tc>
      </w:tr>
    </w:tbl>
    <w:p>
      <w:pPr>
        <w:spacing w:before="180" w:after="80"/>
      </w:pPr>
      <w:r>
        <w:rPr>
          <w:rFonts w:ascii="Aptos" w:hAnsi="Aptos"/>
          <w:b/>
          <w:color w:val="000000"/>
          <w:sz w:val="26"/>
        </w:rPr>
        <w:t>Work completed during the month</w:t>
      </w:r>
    </w:p>
    <w:tbl>
      <w:tblPr>
        <w:tblW w:type="auto" w:w="0"/>
        <w:jc w:val="center"/>
        <w:tblLayout w:type="fixed"/>
        <w:tblLook w:firstColumn="1" w:firstRow="1" w:lastColumn="0" w:lastRow="0" w:noHBand="0" w:noVBand="1" w:val="04A0"/>
      </w:tblPr>
      <w:tblGrid>
        <w:gridCol w:w="5141"/>
        <w:gridCol w:w="5141"/>
      </w:tblGrid>
      <w:tr>
        <w:tc>
          <w:tcPr>
            <w:tcW w:type="dxa" w:w="1612"/>
            <w:tcBorders>
              <w:top w:val="single" w:sz="6" w:color="D9D9D9"/>
              <w:left w:val="single" w:sz="6" w:color="D9D9D9"/>
              <w:bottom w:val="single" w:sz="6" w:color="D9D9D9"/>
              <w:right w:val="single" w:sz="6" w:color="D9D9D9"/>
            </w:tcBorders>
            <w:tcMar>
              <w:top w:w="90" w:type="dxa"/>
              <w:start w:w="115" w:type="dxa"/>
              <w:bottom w:w="90" w:type="dxa"/>
              <w:end w:w="115" w:type="dxa"/>
            </w:tcMar>
            <w:vAlign w:val="center"/>
            <w:shd w:fill="F8F0DE"/>
          </w:tcPr>
          <w:p>
            <w:pPr>
              <w:jc w:val="center"/>
            </w:pPr>
            <w:r>
              <w:rPr>
                <w:rFonts w:ascii="Aptos" w:hAnsi="Aptos"/>
                <w:b/>
                <w:color w:val="24323D"/>
                <w:sz w:val="17"/>
              </w:rPr>
              <w:t>Sep 10-15</w:t>
            </w:r>
          </w:p>
        </w:tc>
        <w:tc>
          <w:tcPr>
            <w:tcW w:type="dxa" w:w="8280"/>
            <w:tcBorders>
              <w:top w:val="single" w:sz="6" w:color="D9D9D9"/>
              <w:left w:val="single" w:sz="6" w:color="D9D9D9"/>
              <w:bottom w:val="single" w:sz="6" w:color="D9D9D9"/>
              <w:right w:val="single" w:sz="6" w:color="D9D9D9"/>
            </w:tcBorders>
            <w:tcMar>
              <w:top w:w="90" w:type="dxa"/>
              <w:start w:w="115" w:type="dxa"/>
              <w:bottom w:w="90" w:type="dxa"/>
              <w:end w:w="115" w:type="dxa"/>
            </w:tcMar>
            <w:vAlign w:val="center"/>
          </w:tcPr>
          <w:p>
            <w:pPr>
              <w:spacing w:after="20"/>
            </w:pPr>
            <w:r>
              <w:rPr>
                <w:rFonts w:ascii="Aptos" w:hAnsi="Aptos"/>
                <w:b/>
                <w:color w:val="000000"/>
                <w:sz w:val="19"/>
              </w:rPr>
              <w:t>Website and online ordering foundation</w:t>
            </w:r>
          </w:p>
          <w:p>
            <w:pPr>
              <w:spacing w:after="0" w:line="245" w:lineRule="auto"/>
            </w:pPr>
            <w:r>
              <w:rPr>
                <w:rFonts w:ascii="Aptos" w:hAnsi="Aptos"/>
                <w:b w:val="0"/>
                <w:color w:val="374151"/>
                <w:sz w:val="17"/>
              </w:rPr>
              <w:t>Improved the main website structure; created clearer pages for takeout, the Iselin store and catering; refreshed the homepage; and added helpful content to the main sweets and gift categories.</w:t>
            </w:r>
          </w:p>
        </w:tc>
      </w:tr>
      <w:tr>
        <w:tc>
          <w:tcPr>
            <w:tcW w:type="dxa" w:w="1612"/>
            <w:tcBorders>
              <w:top w:val="single" w:sz="6" w:color="D9D9D9"/>
              <w:left w:val="single" w:sz="6" w:color="D9D9D9"/>
              <w:bottom w:val="single" w:sz="6" w:color="D9D9D9"/>
              <w:right w:val="single" w:sz="6" w:color="D9D9D9"/>
            </w:tcBorders>
            <w:tcMar>
              <w:top w:w="90" w:type="dxa"/>
              <w:start w:w="115" w:type="dxa"/>
              <w:bottom w:w="90" w:type="dxa"/>
              <w:end w:w="115" w:type="dxa"/>
            </w:tcMar>
            <w:vAlign w:val="center"/>
            <w:shd w:fill="EDF3F6"/>
          </w:tcPr>
          <w:p>
            <w:pPr>
              <w:jc w:val="center"/>
            </w:pPr>
            <w:r>
              <w:rPr>
                <w:rFonts w:ascii="Aptos" w:hAnsi="Aptos"/>
                <w:b/>
                <w:color w:val="24323D"/>
                <w:sz w:val="17"/>
              </w:rPr>
              <w:t>Sep 10-15</w:t>
            </w:r>
          </w:p>
        </w:tc>
        <w:tc>
          <w:tcPr>
            <w:tcW w:type="dxa" w:w="8280"/>
            <w:tcBorders>
              <w:top w:val="single" w:sz="6" w:color="D9D9D9"/>
              <w:left w:val="single" w:sz="6" w:color="D9D9D9"/>
              <w:bottom w:val="single" w:sz="6" w:color="D9D9D9"/>
              <w:right w:val="single" w:sz="6" w:color="D9D9D9"/>
            </w:tcBorders>
            <w:tcMar>
              <w:top w:w="90" w:type="dxa"/>
              <w:start w:w="115" w:type="dxa"/>
              <w:bottom w:w="90" w:type="dxa"/>
              <w:end w:w="115" w:type="dxa"/>
            </w:tcMar>
            <w:vAlign w:val="center"/>
          </w:tcPr>
          <w:p>
            <w:pPr>
              <w:spacing w:after="20"/>
            </w:pPr>
            <w:r>
              <w:rPr>
                <w:rFonts w:ascii="Aptos" w:hAnsi="Aptos"/>
                <w:b/>
                <w:color w:val="000000"/>
                <w:sz w:val="19"/>
              </w:rPr>
              <w:t>Cleaner catalogue and easier navigation</w:t>
            </w:r>
          </w:p>
          <w:p>
            <w:pPr>
              <w:spacing w:after="0" w:line="245" w:lineRule="auto"/>
            </w:pPr>
            <w:r>
              <w:rPr>
                <w:rFonts w:ascii="Aptos" w:hAnsi="Aptos"/>
                <w:b w:val="0"/>
                <w:color w:val="374151"/>
                <w:sz w:val="17"/>
              </w:rPr>
              <w:t>Updated category page addresses, cleaned eight pickup-only product pages, and made sure older links lead customers to the right current pages.</w:t>
            </w:r>
          </w:p>
        </w:tc>
      </w:tr>
      <w:tr>
        <w:tc>
          <w:tcPr>
            <w:tcW w:type="dxa" w:w="1612"/>
            <w:tcBorders>
              <w:top w:val="single" w:sz="6" w:color="D9D9D9"/>
              <w:left w:val="single" w:sz="6" w:color="D9D9D9"/>
              <w:bottom w:val="single" w:sz="6" w:color="D9D9D9"/>
              <w:right w:val="single" w:sz="6" w:color="D9D9D9"/>
            </w:tcBorders>
            <w:tcMar>
              <w:top w:w="90" w:type="dxa"/>
              <w:start w:w="115" w:type="dxa"/>
              <w:bottom w:w="90" w:type="dxa"/>
              <w:end w:w="115" w:type="dxa"/>
            </w:tcMar>
            <w:vAlign w:val="center"/>
            <w:shd w:fill="EAF3EC"/>
          </w:tcPr>
          <w:p>
            <w:pPr>
              <w:jc w:val="center"/>
            </w:pPr>
            <w:r>
              <w:rPr>
                <w:rFonts w:ascii="Aptos" w:hAnsi="Aptos"/>
                <w:b/>
                <w:color w:val="24323D"/>
                <w:sz w:val="17"/>
              </w:rPr>
              <w:t>Sep 16-20</w:t>
            </w:r>
          </w:p>
        </w:tc>
        <w:tc>
          <w:tcPr>
            <w:tcW w:type="dxa" w:w="8280"/>
            <w:tcBorders>
              <w:top w:val="single" w:sz="6" w:color="D9D9D9"/>
              <w:left w:val="single" w:sz="6" w:color="D9D9D9"/>
              <w:bottom w:val="single" w:sz="6" w:color="D9D9D9"/>
              <w:right w:val="single" w:sz="6" w:color="D9D9D9"/>
            </w:tcBorders>
            <w:tcMar>
              <w:top w:w="90" w:type="dxa"/>
              <w:start w:w="115" w:type="dxa"/>
              <w:bottom w:w="90" w:type="dxa"/>
              <w:end w:w="115" w:type="dxa"/>
            </w:tcMar>
            <w:vAlign w:val="center"/>
          </w:tcPr>
          <w:p>
            <w:pPr>
              <w:spacing w:after="20"/>
            </w:pPr>
            <w:r>
              <w:rPr>
                <w:rFonts w:ascii="Aptos" w:hAnsi="Aptos"/>
                <w:b/>
                <w:color w:val="000000"/>
                <w:sz w:val="19"/>
              </w:rPr>
              <w:t>Local business information and menu</w:t>
            </w:r>
          </w:p>
          <w:p>
            <w:pPr>
              <w:spacing w:after="0" w:line="245" w:lineRule="auto"/>
            </w:pPr>
            <w:r>
              <w:rPr>
                <w:rFonts w:ascii="Aptos" w:hAnsi="Aptos"/>
                <w:b w:val="0"/>
                <w:color w:val="374151"/>
                <w:sz w:val="17"/>
              </w:rPr>
              <w:t>Aligned the store details used online, clarified that service is takeout and pickup only, and updated the Google Business Profile with products and menu information.</w:t>
            </w:r>
          </w:p>
        </w:tc>
      </w:tr>
      <w:tr>
        <w:tc>
          <w:tcPr>
            <w:tcW w:type="dxa" w:w="1612"/>
            <w:tcBorders>
              <w:top w:val="single" w:sz="6" w:color="D9D9D9"/>
              <w:left w:val="single" w:sz="6" w:color="D9D9D9"/>
              <w:bottom w:val="single" w:sz="6" w:color="D9D9D9"/>
              <w:right w:val="single" w:sz="6" w:color="D9D9D9"/>
            </w:tcBorders>
            <w:tcMar>
              <w:top w:w="90" w:type="dxa"/>
              <w:start w:w="115" w:type="dxa"/>
              <w:bottom w:w="90" w:type="dxa"/>
              <w:end w:w="115" w:type="dxa"/>
            </w:tcMar>
            <w:vAlign w:val="center"/>
            <w:shd w:fill="F3F4F6"/>
          </w:tcPr>
          <w:p>
            <w:pPr>
              <w:jc w:val="center"/>
            </w:pPr>
            <w:r>
              <w:rPr>
                <w:rFonts w:ascii="Aptos" w:hAnsi="Aptos"/>
                <w:b/>
                <w:color w:val="24323D"/>
                <w:sz w:val="17"/>
              </w:rPr>
              <w:t>Sep 16-20</w:t>
            </w:r>
          </w:p>
        </w:tc>
        <w:tc>
          <w:tcPr>
            <w:tcW w:type="dxa" w:w="8280"/>
            <w:tcBorders>
              <w:top w:val="single" w:sz="6" w:color="D9D9D9"/>
              <w:left w:val="single" w:sz="6" w:color="D9D9D9"/>
              <w:bottom w:val="single" w:sz="6" w:color="D9D9D9"/>
              <w:right w:val="single" w:sz="6" w:color="D9D9D9"/>
            </w:tcBorders>
            <w:tcMar>
              <w:top w:w="90" w:type="dxa"/>
              <w:start w:w="115" w:type="dxa"/>
              <w:bottom w:w="90" w:type="dxa"/>
              <w:end w:w="115" w:type="dxa"/>
            </w:tcMar>
            <w:vAlign w:val="center"/>
          </w:tcPr>
          <w:p>
            <w:pPr>
              <w:spacing w:after="20"/>
            </w:pPr>
            <w:r>
              <w:rPr>
                <w:rFonts w:ascii="Aptos" w:hAnsi="Aptos"/>
                <w:b/>
                <w:color w:val="000000"/>
                <w:sz w:val="19"/>
              </w:rPr>
              <w:t>Measurement setup</w:t>
            </w:r>
          </w:p>
          <w:p>
            <w:pPr>
              <w:spacing w:after="0" w:line="245" w:lineRule="auto"/>
            </w:pPr>
            <w:r>
              <w:rPr>
                <w:rFonts w:ascii="Aptos" w:hAnsi="Aptos"/>
                <w:b w:val="0"/>
                <w:color w:val="374151"/>
                <w:sz w:val="17"/>
              </w:rPr>
              <w:t>Added tracking for purchases, catering inquiries, calls, emails, directions and menu visits. This creates a reliable starting point for future reports.</w:t>
            </w:r>
          </w:p>
        </w:tc>
      </w:tr>
      <w:tr>
        <w:tc>
          <w:tcPr>
            <w:tcW w:type="dxa" w:w="1612"/>
            <w:tcBorders>
              <w:top w:val="single" w:sz="6" w:color="D9D9D9"/>
              <w:left w:val="single" w:sz="6" w:color="D9D9D9"/>
              <w:bottom w:val="single" w:sz="6" w:color="D9D9D9"/>
              <w:right w:val="single" w:sz="6" w:color="D9D9D9"/>
            </w:tcBorders>
            <w:tcMar>
              <w:top w:w="90" w:type="dxa"/>
              <w:start w:w="115" w:type="dxa"/>
              <w:bottom w:w="90" w:type="dxa"/>
              <w:end w:w="115" w:type="dxa"/>
            </w:tcMar>
            <w:vAlign w:val="center"/>
            <w:shd w:fill="F8F0DE"/>
          </w:tcPr>
          <w:p>
            <w:pPr>
              <w:jc w:val="center"/>
            </w:pPr>
            <w:r>
              <w:rPr>
                <w:rFonts w:ascii="Aptos" w:hAnsi="Aptos"/>
                <w:b/>
                <w:color w:val="24323D"/>
                <w:sz w:val="17"/>
              </w:rPr>
              <w:t>Sep 29</w:t>
            </w:r>
          </w:p>
        </w:tc>
        <w:tc>
          <w:tcPr>
            <w:tcW w:type="dxa" w:w="8280"/>
            <w:tcBorders>
              <w:top w:val="single" w:sz="6" w:color="D9D9D9"/>
              <w:left w:val="single" w:sz="6" w:color="D9D9D9"/>
              <w:bottom w:val="single" w:sz="6" w:color="D9D9D9"/>
              <w:right w:val="single" w:sz="6" w:color="D9D9D9"/>
            </w:tcBorders>
            <w:tcMar>
              <w:top w:w="90" w:type="dxa"/>
              <w:start w:w="115" w:type="dxa"/>
              <w:bottom w:w="90" w:type="dxa"/>
              <w:end w:w="115" w:type="dxa"/>
            </w:tcMar>
            <w:vAlign w:val="center"/>
          </w:tcPr>
          <w:p>
            <w:pPr>
              <w:spacing w:after="20"/>
            </w:pPr>
            <w:r>
              <w:rPr>
                <w:rFonts w:ascii="Aptos" w:hAnsi="Aptos"/>
                <w:b/>
                <w:color w:val="000000"/>
                <w:sz w:val="19"/>
              </w:rPr>
              <w:t>More product visibility on Google</w:t>
            </w:r>
          </w:p>
          <w:p>
            <w:pPr>
              <w:spacing w:after="0" w:line="245" w:lineRule="auto"/>
            </w:pPr>
            <w:r>
              <w:rPr>
                <w:rFonts w:ascii="Aptos" w:hAnsi="Aptos"/>
                <w:b w:val="0"/>
                <w:color w:val="374151"/>
                <w:sz w:val="17"/>
              </w:rPr>
              <w:t>Connected the online catalogue to Google Shopping free listings so eligible sweets, snacks and gift boxes can be discovered in Google.</w:t>
            </w:r>
          </w:p>
        </w:tc>
      </w:tr>
    </w:tbl>
    <w:p>
      <w:pPr>
        <w:spacing w:before="120" w:after="0"/>
      </w:pPr>
      <w:r>
        <w:rPr>
          <w:rFonts w:ascii="Aptos" w:hAnsi="Aptos"/>
          <w:b w:val="0"/>
          <w:color w:val="6B7280"/>
          <w:sz w:val="17"/>
        </w:rPr>
        <w:t>This report intentionally focuses on the work completed, not early performance results. The next reporting period will establish the first comparable baseline.</w:t>
      </w:r>
    </w:p>
    <w:p>
      <w:r>
        <w:br w:type="page"/>
      </w:r>
    </w:p>
    <w:p>
      <w:pPr>
        <w:spacing w:before="180" w:after="80"/>
      </w:pPr>
      <w:r>
        <w:rPr>
          <w:rFonts w:ascii="Aptos" w:hAnsi="Aptos"/>
          <w:b/>
          <w:color w:val="000000"/>
          <w:sz w:val="26"/>
        </w:rPr>
        <w:t>What happens next</w:t>
      </w:r>
    </w:p>
    <w:p>
      <w:pPr>
        <w:spacing w:after="120" w:line="259" w:lineRule="auto"/>
      </w:pPr>
      <w:r>
        <w:rPr>
          <w:rFonts w:ascii="Aptos" w:hAnsi="Aptos"/>
          <w:b w:val="0"/>
          <w:color w:val="2F3A42"/>
          <w:sz w:val="20"/>
        </w:rPr>
        <w:t>With the core pages, local listing and tracking in place, the next phase is about helping more people discover Quality Sweets and measuring what they do once they arrive.</w:t>
      </w:r>
    </w:p>
    <w:tbl>
      <w:tblPr>
        <w:tblW w:type="auto" w:w="0"/>
        <w:jc w:val="center"/>
        <w:tblLayout w:type="fixed"/>
        <w:tblLook w:firstColumn="1" w:firstRow="1" w:lastColumn="0" w:lastRow="0" w:noHBand="0" w:noVBand="1" w:val="04A0"/>
      </w:tblPr>
      <w:tblGrid>
        <w:gridCol w:w="3427"/>
        <w:gridCol w:w="3427"/>
        <w:gridCol w:w="3427"/>
      </w:tblGrid>
      <w:tr>
        <w:tc>
          <w:tcPr>
            <w:tcW w:type="dxa" w:w="2448"/>
            <w:shd w:fill="24323D"/>
            <w:tcBorders>
              <w:top w:val="single" w:sz="6" w:color="24323D"/>
              <w:left w:val="single" w:sz="6" w:color="24323D"/>
              <w:bottom w:val="single" w:sz="6" w:color="24323D"/>
              <w:right w:val="single" w:sz="6" w:color="24323D"/>
            </w:tcBorders>
            <w:tcMar>
              <w:top w:w="100" w:type="dxa"/>
              <w:start w:w="105" w:type="dxa"/>
              <w:bottom w:w="100" w:type="dxa"/>
              <w:end w:w="105" w:type="dxa"/>
            </w:tcMar>
          </w:tcPr>
          <w:p>
            <w:pPr>
              <w:jc w:val="left"/>
            </w:pPr>
            <w:r>
              <w:rPr>
                <w:rFonts w:ascii="Aptos" w:hAnsi="Aptos"/>
                <w:b/>
                <w:color w:val="FFFFFF"/>
                <w:sz w:val="17"/>
              </w:rPr>
              <w:t>Next priority</w:t>
            </w:r>
          </w:p>
        </w:tc>
        <w:tc>
          <w:tcPr>
            <w:tcW w:type="dxa" w:w="6120"/>
            <w:shd w:fill="24323D"/>
            <w:tcBorders>
              <w:top w:val="single" w:sz="6" w:color="24323D"/>
              <w:left w:val="single" w:sz="6" w:color="24323D"/>
              <w:bottom w:val="single" w:sz="6" w:color="24323D"/>
              <w:right w:val="single" w:sz="6" w:color="24323D"/>
            </w:tcBorders>
            <w:tcMar>
              <w:top w:w="100" w:type="dxa"/>
              <w:start w:w="105" w:type="dxa"/>
              <w:bottom w:w="100" w:type="dxa"/>
              <w:end w:w="105" w:type="dxa"/>
            </w:tcMar>
          </w:tcPr>
          <w:p>
            <w:pPr>
              <w:jc w:val="left"/>
            </w:pPr>
            <w:r>
              <w:rPr>
                <w:rFonts w:ascii="Aptos" w:hAnsi="Aptos"/>
                <w:b/>
                <w:color w:val="FFFFFF"/>
                <w:sz w:val="17"/>
              </w:rPr>
              <w:t>What it means for Quality Sweets</w:t>
            </w:r>
          </w:p>
        </w:tc>
        <w:tc>
          <w:tcPr>
            <w:tcW w:type="dxa" w:w="1339"/>
            <w:shd w:fill="24323D"/>
            <w:tcBorders>
              <w:top w:val="single" w:sz="6" w:color="24323D"/>
              <w:left w:val="single" w:sz="6" w:color="24323D"/>
              <w:bottom w:val="single" w:sz="6" w:color="24323D"/>
              <w:right w:val="single" w:sz="6" w:color="24323D"/>
            </w:tcBorders>
            <w:tcMar>
              <w:top w:w="100" w:type="dxa"/>
              <w:start w:w="105" w:type="dxa"/>
              <w:bottom w:w="100" w:type="dxa"/>
              <w:end w:w="105" w:type="dxa"/>
            </w:tcMar>
          </w:tcPr>
          <w:p>
            <w:pPr>
              <w:jc w:val="center"/>
            </w:pPr>
            <w:r>
              <w:rPr>
                <w:rFonts w:ascii="Aptos" w:hAnsi="Aptos"/>
                <w:b/>
                <w:color w:val="FFFFFF"/>
                <w:sz w:val="17"/>
              </w:rPr>
              <w:t>Status</w:t>
            </w:r>
          </w:p>
        </w:tc>
      </w:tr>
      <w:tr>
        <w:tc>
          <w:tcPr>
            <w:tcW w:type="dxa" w:w="2448"/>
            <w:tcBorders>
              <w:top w:val="single" w:sz="6" w:color="D9D9D9"/>
              <w:left w:val="single" w:sz="6" w:color="D9D9D9"/>
              <w:bottom w:val="single" w:sz="6" w:color="D9D9D9"/>
              <w:right w:val="single" w:sz="6" w:color="D9D9D9"/>
            </w:tcBorders>
            <w:shd w:fill="FFFFFF"/>
            <w:tcMar>
              <w:top w:w="95" w:type="dxa"/>
              <w:start w:w="105" w:type="dxa"/>
              <w:bottom w:w="95" w:type="dxa"/>
              <w:end w:w="105" w:type="dxa"/>
            </w:tcMar>
            <w:vAlign w:val="center"/>
          </w:tcPr>
          <w:p>
            <w:pPr>
              <w:spacing w:line="245" w:lineRule="auto"/>
            </w:pPr>
            <w:r>
              <w:rPr>
                <w:rFonts w:ascii="Aptos" w:hAnsi="Aptos"/>
                <w:b/>
                <w:color w:val="24323D"/>
                <w:sz w:val="17"/>
              </w:rPr>
              <w:t>Help Google understand the website</w:t>
            </w:r>
          </w:p>
        </w:tc>
        <w:tc>
          <w:tcPr>
            <w:tcW w:type="dxa" w:w="6120"/>
            <w:tcBorders>
              <w:top w:val="single" w:sz="6" w:color="D9D9D9"/>
              <w:left w:val="single" w:sz="6" w:color="D9D9D9"/>
              <w:bottom w:val="single" w:sz="6" w:color="D9D9D9"/>
              <w:right w:val="single" w:sz="6" w:color="D9D9D9"/>
            </w:tcBorders>
            <w:shd w:fill="FFFFFF"/>
            <w:tcMar>
              <w:top w:w="95" w:type="dxa"/>
              <w:start w:w="105" w:type="dxa"/>
              <w:bottom w:w="95" w:type="dxa"/>
              <w:end w:w="105" w:type="dxa"/>
            </w:tcMar>
            <w:vAlign w:val="center"/>
          </w:tcPr>
          <w:p>
            <w:pPr>
              <w:spacing w:line="245" w:lineRule="auto"/>
            </w:pPr>
            <w:r>
              <w:rPr>
                <w:rFonts w:ascii="Aptos" w:hAnsi="Aptos"/>
                <w:b w:val="0"/>
                <w:color w:val="374151"/>
                <w:sz w:val="17"/>
              </w:rPr>
              <w:t>Add the behind-the-scenes website information that helps Google recognize the business, products and page relationships.</w:t>
            </w:r>
          </w:p>
        </w:tc>
        <w:tc>
          <w:tcPr>
            <w:tcW w:type="dxa" w:w="1339"/>
            <w:tcBorders>
              <w:top w:val="single" w:sz="6" w:color="D9D9D9"/>
              <w:left w:val="single" w:sz="6" w:color="D9D9D9"/>
              <w:bottom w:val="single" w:sz="6" w:color="D9D9D9"/>
              <w:right w:val="single" w:sz="6" w:color="D9D9D9"/>
            </w:tcBorders>
            <w:shd w:fill="F8F0DE"/>
            <w:tcMar>
              <w:top w:w="95" w:type="dxa"/>
              <w:start w:w="105" w:type="dxa"/>
              <w:bottom w:w="95" w:type="dxa"/>
              <w:end w:w="105" w:type="dxa"/>
            </w:tcMar>
            <w:vAlign w:val="center"/>
          </w:tcPr>
          <w:p>
            <w:pPr>
              <w:jc w:val="center"/>
            </w:pPr>
            <w:r>
              <w:rPr>
                <w:rFonts w:ascii="Aptos" w:hAnsi="Aptos"/>
                <w:b/>
                <w:color w:val="24323D"/>
                <w:sz w:val="16"/>
              </w:rPr>
              <w:t>Next</w:t>
            </w:r>
          </w:p>
        </w:tc>
      </w:tr>
      <w:tr>
        <w:tc>
          <w:tcPr>
            <w:tcW w:type="dxa" w:w="2448"/>
            <w:tcBorders>
              <w:top w:val="single" w:sz="6" w:color="D9D9D9"/>
              <w:left w:val="single" w:sz="6" w:color="D9D9D9"/>
              <w:bottom w:val="single" w:sz="6" w:color="D9D9D9"/>
              <w:right w:val="single" w:sz="6" w:color="D9D9D9"/>
            </w:tcBorders>
            <w:shd w:fill="FFFFFF"/>
            <w:tcMar>
              <w:top w:w="95" w:type="dxa"/>
              <w:start w:w="105" w:type="dxa"/>
              <w:bottom w:w="95" w:type="dxa"/>
              <w:end w:w="105" w:type="dxa"/>
            </w:tcMar>
            <w:vAlign w:val="center"/>
          </w:tcPr>
          <w:p>
            <w:pPr>
              <w:spacing w:line="245" w:lineRule="auto"/>
            </w:pPr>
            <w:r>
              <w:rPr>
                <w:rFonts w:ascii="Aptos" w:hAnsi="Aptos"/>
                <w:b/>
                <w:color w:val="24323D"/>
                <w:sz w:val="17"/>
              </w:rPr>
              <w:t>Build local trust</w:t>
            </w:r>
          </w:p>
        </w:tc>
        <w:tc>
          <w:tcPr>
            <w:tcW w:type="dxa" w:w="6120"/>
            <w:tcBorders>
              <w:top w:val="single" w:sz="6" w:color="D9D9D9"/>
              <w:left w:val="single" w:sz="6" w:color="D9D9D9"/>
              <w:bottom w:val="single" w:sz="6" w:color="D9D9D9"/>
              <w:right w:val="single" w:sz="6" w:color="D9D9D9"/>
            </w:tcBorders>
            <w:shd w:fill="FFFFFF"/>
            <w:tcMar>
              <w:top w:w="95" w:type="dxa"/>
              <w:start w:w="105" w:type="dxa"/>
              <w:bottom w:w="95" w:type="dxa"/>
              <w:end w:w="105" w:type="dxa"/>
            </w:tcMar>
            <w:vAlign w:val="center"/>
          </w:tcPr>
          <w:p>
            <w:pPr>
              <w:spacing w:line="245" w:lineRule="auto"/>
            </w:pPr>
            <w:r>
              <w:rPr>
                <w:rFonts w:ascii="Aptos" w:hAnsi="Aptos"/>
                <w:b w:val="0"/>
                <w:color w:val="374151"/>
                <w:sz w:val="17"/>
              </w:rPr>
              <w:t>Add real photos, regular Google updates and a simple review request process for store customers.</w:t>
            </w:r>
          </w:p>
        </w:tc>
        <w:tc>
          <w:tcPr>
            <w:tcW w:type="dxa" w:w="1339"/>
            <w:tcBorders>
              <w:top w:val="single" w:sz="6" w:color="D9D9D9"/>
              <w:left w:val="single" w:sz="6" w:color="D9D9D9"/>
              <w:bottom w:val="single" w:sz="6" w:color="D9D9D9"/>
              <w:right w:val="single" w:sz="6" w:color="D9D9D9"/>
            </w:tcBorders>
            <w:shd w:fill="F8F0DE"/>
            <w:tcMar>
              <w:top w:w="95" w:type="dxa"/>
              <w:start w:w="105" w:type="dxa"/>
              <w:bottom w:w="95" w:type="dxa"/>
              <w:end w:w="105" w:type="dxa"/>
            </w:tcMar>
            <w:vAlign w:val="center"/>
          </w:tcPr>
          <w:p>
            <w:pPr>
              <w:jc w:val="center"/>
            </w:pPr>
            <w:r>
              <w:rPr>
                <w:rFonts w:ascii="Aptos" w:hAnsi="Aptos"/>
                <w:b/>
                <w:color w:val="24323D"/>
                <w:sz w:val="16"/>
              </w:rPr>
              <w:t>Next</w:t>
            </w:r>
          </w:p>
        </w:tc>
      </w:tr>
      <w:tr>
        <w:tc>
          <w:tcPr>
            <w:tcW w:type="dxa" w:w="2448"/>
            <w:tcBorders>
              <w:top w:val="single" w:sz="6" w:color="D9D9D9"/>
              <w:left w:val="single" w:sz="6" w:color="D9D9D9"/>
              <w:bottom w:val="single" w:sz="6" w:color="D9D9D9"/>
              <w:right w:val="single" w:sz="6" w:color="D9D9D9"/>
            </w:tcBorders>
            <w:shd w:fill="FFFFFF"/>
            <w:tcMar>
              <w:top w:w="95" w:type="dxa"/>
              <w:start w:w="105" w:type="dxa"/>
              <w:bottom w:w="95" w:type="dxa"/>
              <w:end w:w="105" w:type="dxa"/>
            </w:tcMar>
            <w:vAlign w:val="center"/>
          </w:tcPr>
          <w:p>
            <w:pPr>
              <w:spacing w:line="245" w:lineRule="auto"/>
            </w:pPr>
            <w:r>
              <w:rPr>
                <w:rFonts w:ascii="Aptos" w:hAnsi="Aptos"/>
                <w:b/>
                <w:color w:val="24323D"/>
                <w:sz w:val="17"/>
              </w:rPr>
              <w:t>Keep business listings consistent</w:t>
            </w:r>
          </w:p>
        </w:tc>
        <w:tc>
          <w:tcPr>
            <w:tcW w:type="dxa" w:w="6120"/>
            <w:tcBorders>
              <w:top w:val="single" w:sz="6" w:color="D9D9D9"/>
              <w:left w:val="single" w:sz="6" w:color="D9D9D9"/>
              <w:bottom w:val="single" w:sz="6" w:color="D9D9D9"/>
              <w:right w:val="single" w:sz="6" w:color="D9D9D9"/>
            </w:tcBorders>
            <w:shd w:fill="FFFFFF"/>
            <w:tcMar>
              <w:top w:w="95" w:type="dxa"/>
              <w:start w:w="105" w:type="dxa"/>
              <w:bottom w:w="95" w:type="dxa"/>
              <w:end w:w="105" w:type="dxa"/>
            </w:tcMar>
            <w:vAlign w:val="center"/>
          </w:tcPr>
          <w:p>
            <w:pPr>
              <w:spacing w:line="245" w:lineRule="auto"/>
            </w:pPr>
            <w:r>
              <w:rPr>
                <w:rFonts w:ascii="Aptos" w:hAnsi="Aptos"/>
                <w:b w:val="0"/>
                <w:color w:val="374151"/>
                <w:sz w:val="17"/>
              </w:rPr>
              <w:t>Check and correct key business directories so customers find the same address, phone number and website everywhere.</w:t>
            </w:r>
          </w:p>
        </w:tc>
        <w:tc>
          <w:tcPr>
            <w:tcW w:type="dxa" w:w="1339"/>
            <w:tcBorders>
              <w:top w:val="single" w:sz="6" w:color="D9D9D9"/>
              <w:left w:val="single" w:sz="6" w:color="D9D9D9"/>
              <w:bottom w:val="single" w:sz="6" w:color="D9D9D9"/>
              <w:right w:val="single" w:sz="6" w:color="D9D9D9"/>
            </w:tcBorders>
            <w:shd w:fill="F8F0DE"/>
            <w:tcMar>
              <w:top w:w="95" w:type="dxa"/>
              <w:start w:w="105" w:type="dxa"/>
              <w:bottom w:w="95" w:type="dxa"/>
              <w:end w:w="105" w:type="dxa"/>
            </w:tcMar>
            <w:vAlign w:val="center"/>
          </w:tcPr>
          <w:p>
            <w:pPr>
              <w:jc w:val="center"/>
            </w:pPr>
            <w:r>
              <w:rPr>
                <w:rFonts w:ascii="Aptos" w:hAnsi="Aptos"/>
                <w:b/>
                <w:color w:val="24323D"/>
                <w:sz w:val="16"/>
              </w:rPr>
              <w:t>Next</w:t>
            </w:r>
          </w:p>
        </w:tc>
      </w:tr>
      <w:tr>
        <w:tc>
          <w:tcPr>
            <w:tcW w:type="dxa" w:w="2448"/>
            <w:tcBorders>
              <w:top w:val="single" w:sz="6" w:color="D9D9D9"/>
              <w:left w:val="single" w:sz="6" w:color="D9D9D9"/>
              <w:bottom w:val="single" w:sz="6" w:color="D9D9D9"/>
              <w:right w:val="single" w:sz="6" w:color="D9D9D9"/>
            </w:tcBorders>
            <w:shd w:fill="FFFFFF"/>
            <w:tcMar>
              <w:top w:w="95" w:type="dxa"/>
              <w:start w:w="105" w:type="dxa"/>
              <w:bottom w:w="95" w:type="dxa"/>
              <w:end w:w="105" w:type="dxa"/>
            </w:tcMar>
            <w:vAlign w:val="center"/>
          </w:tcPr>
          <w:p>
            <w:pPr>
              <w:spacing w:line="245" w:lineRule="auto"/>
            </w:pPr>
            <w:r>
              <w:rPr>
                <w:rFonts w:ascii="Aptos" w:hAnsi="Aptos"/>
                <w:b/>
                <w:color w:val="24323D"/>
                <w:sz w:val="17"/>
              </w:rPr>
              <w:t>Watch customer actions</w:t>
            </w:r>
          </w:p>
        </w:tc>
        <w:tc>
          <w:tcPr>
            <w:tcW w:type="dxa" w:w="6120"/>
            <w:tcBorders>
              <w:top w:val="single" w:sz="6" w:color="D9D9D9"/>
              <w:left w:val="single" w:sz="6" w:color="D9D9D9"/>
              <w:bottom w:val="single" w:sz="6" w:color="D9D9D9"/>
              <w:right w:val="single" w:sz="6" w:color="D9D9D9"/>
            </w:tcBorders>
            <w:shd w:fill="FFFFFF"/>
            <w:tcMar>
              <w:top w:w="95" w:type="dxa"/>
              <w:start w:w="105" w:type="dxa"/>
              <w:bottom w:w="95" w:type="dxa"/>
              <w:end w:w="105" w:type="dxa"/>
            </w:tcMar>
            <w:vAlign w:val="center"/>
          </w:tcPr>
          <w:p>
            <w:pPr>
              <w:spacing w:line="245" w:lineRule="auto"/>
            </w:pPr>
            <w:r>
              <w:rPr>
                <w:rFonts w:ascii="Aptos" w:hAnsi="Aptos"/>
                <w:b w:val="0"/>
                <w:color w:val="374151"/>
                <w:sz w:val="17"/>
              </w:rPr>
              <w:t>Review search visibility, website visits, calls, directions, menu views, online purchases and catering inquiries.</w:t>
            </w:r>
          </w:p>
        </w:tc>
        <w:tc>
          <w:tcPr>
            <w:tcW w:type="dxa" w:w="1339"/>
            <w:tcBorders>
              <w:top w:val="single" w:sz="6" w:color="D9D9D9"/>
              <w:left w:val="single" w:sz="6" w:color="D9D9D9"/>
              <w:bottom w:val="single" w:sz="6" w:color="D9D9D9"/>
              <w:right w:val="single" w:sz="6" w:color="D9D9D9"/>
            </w:tcBorders>
            <w:shd w:fill="EAF3EC"/>
            <w:tcMar>
              <w:top w:w="95" w:type="dxa"/>
              <w:start w:w="105" w:type="dxa"/>
              <w:bottom w:w="95" w:type="dxa"/>
              <w:end w:w="105" w:type="dxa"/>
            </w:tcMar>
            <w:vAlign w:val="center"/>
          </w:tcPr>
          <w:p>
            <w:pPr>
              <w:jc w:val="center"/>
            </w:pPr>
            <w:r>
              <w:rPr>
                <w:rFonts w:ascii="Aptos" w:hAnsi="Aptos"/>
                <w:b/>
                <w:color w:val="24323D"/>
                <w:sz w:val="16"/>
              </w:rPr>
              <w:t>Ongoing</w:t>
            </w:r>
          </w:p>
        </w:tc>
      </w:tr>
      <w:tr>
        <w:tc>
          <w:tcPr>
            <w:tcW w:type="dxa" w:w="2448"/>
            <w:tcBorders>
              <w:top w:val="single" w:sz="6" w:color="D9D9D9"/>
              <w:left w:val="single" w:sz="6" w:color="D9D9D9"/>
              <w:bottom w:val="single" w:sz="6" w:color="D9D9D9"/>
              <w:right w:val="single" w:sz="6" w:color="D9D9D9"/>
            </w:tcBorders>
            <w:shd w:fill="FFFFFF"/>
            <w:tcMar>
              <w:top w:w="95" w:type="dxa"/>
              <w:start w:w="105" w:type="dxa"/>
              <w:bottom w:w="95" w:type="dxa"/>
              <w:end w:w="105" w:type="dxa"/>
            </w:tcMar>
            <w:vAlign w:val="center"/>
          </w:tcPr>
          <w:p>
            <w:pPr>
              <w:spacing w:line="245" w:lineRule="auto"/>
            </w:pPr>
            <w:r>
              <w:rPr>
                <w:rFonts w:ascii="Aptos" w:hAnsi="Aptos"/>
                <w:b/>
                <w:color w:val="24323D"/>
                <w:sz w:val="17"/>
              </w:rPr>
              <w:t>Prepare seasonal opportunities</w:t>
            </w:r>
          </w:p>
        </w:tc>
        <w:tc>
          <w:tcPr>
            <w:tcW w:type="dxa" w:w="6120"/>
            <w:tcBorders>
              <w:top w:val="single" w:sz="6" w:color="D9D9D9"/>
              <w:left w:val="single" w:sz="6" w:color="D9D9D9"/>
              <w:bottom w:val="single" w:sz="6" w:color="D9D9D9"/>
              <w:right w:val="single" w:sz="6" w:color="D9D9D9"/>
            </w:tcBorders>
            <w:shd w:fill="FFFFFF"/>
            <w:tcMar>
              <w:top w:w="95" w:type="dxa"/>
              <w:start w:w="105" w:type="dxa"/>
              <w:bottom w:w="95" w:type="dxa"/>
              <w:end w:w="105" w:type="dxa"/>
            </w:tcMar>
            <w:vAlign w:val="center"/>
          </w:tcPr>
          <w:p>
            <w:pPr>
              <w:spacing w:line="245" w:lineRule="auto"/>
            </w:pPr>
            <w:r>
              <w:rPr>
                <w:rFonts w:ascii="Aptos" w:hAnsi="Aptos"/>
                <w:b w:val="0"/>
                <w:color w:val="374151"/>
                <w:sz w:val="17"/>
              </w:rPr>
              <w:t>Create useful pages and offers for major celebrations when products and timing are confirmed.</w:t>
            </w:r>
          </w:p>
        </w:tc>
        <w:tc>
          <w:tcPr>
            <w:tcW w:type="dxa" w:w="1339"/>
            <w:tcBorders>
              <w:top w:val="single" w:sz="6" w:color="D9D9D9"/>
              <w:left w:val="single" w:sz="6" w:color="D9D9D9"/>
              <w:bottom w:val="single" w:sz="6" w:color="D9D9D9"/>
              <w:right w:val="single" w:sz="6" w:color="D9D9D9"/>
            </w:tcBorders>
            <w:shd w:fill="EDF3F6"/>
            <w:tcMar>
              <w:top w:w="95" w:type="dxa"/>
              <w:start w:w="105" w:type="dxa"/>
              <w:bottom w:w="95" w:type="dxa"/>
              <w:end w:w="105" w:type="dxa"/>
            </w:tcMar>
            <w:vAlign w:val="center"/>
          </w:tcPr>
          <w:p>
            <w:pPr>
              <w:jc w:val="center"/>
            </w:pPr>
            <w:r>
              <w:rPr>
                <w:rFonts w:ascii="Aptos" w:hAnsi="Aptos"/>
                <w:b/>
                <w:color w:val="24323D"/>
                <w:sz w:val="16"/>
              </w:rPr>
              <w:t>Planned</w:t>
            </w:r>
          </w:p>
        </w:tc>
      </w:tr>
    </w:tbl>
    <w:p>
      <w:pPr>
        <w:spacing w:before="180" w:after="80"/>
      </w:pPr>
      <w:r>
        <w:rPr>
          <w:rFonts w:ascii="Aptos" w:hAnsi="Aptos"/>
          <w:b/>
          <w:color w:val="000000"/>
          <w:sz w:val="26"/>
        </w:rPr>
        <w:t>What future reports will show</w:t>
      </w:r>
    </w:p>
    <w:p>
      <w:pPr>
        <w:spacing w:after="80"/>
      </w:pPr>
      <w:r>
        <w:rPr>
          <w:rFonts w:ascii="Aptos" w:hAnsi="Aptos"/>
          <w:b w:val="0"/>
          <w:color w:val="2F3A42"/>
          <w:sz w:val="19"/>
        </w:rPr>
        <w:t>Starting next month, we will use the new tracking to report on a small set of clear, useful indicators:</w:t>
      </w:r>
    </w:p>
    <w:p>
      <w:pPr>
        <w:pStyle w:val="ListBullet"/>
        <w:spacing w:after="40" w:line="250" w:lineRule="auto"/>
        <w:ind w:left="259" w:hanging="216"/>
      </w:pPr>
      <w:r>
        <w:rPr>
          <w:rFonts w:ascii="Aptos" w:hAnsi="Aptos"/>
          <w:b w:val="0"/>
          <w:color w:val="000000"/>
          <w:sz w:val="18"/>
        </w:rPr>
        <w:t>How easily customers find Quality Sweets on Google and Google Maps.</w:t>
      </w:r>
    </w:p>
    <w:p>
      <w:pPr>
        <w:pStyle w:val="ListBullet"/>
        <w:spacing w:after="40" w:line="250" w:lineRule="auto"/>
        <w:ind w:left="259" w:hanging="216"/>
      </w:pPr>
      <w:r>
        <w:rPr>
          <w:rFonts w:ascii="Aptos" w:hAnsi="Aptos"/>
          <w:b w:val="0"/>
          <w:color w:val="000000"/>
          <w:sz w:val="18"/>
        </w:rPr>
        <w:t>Visits to the website and key pages such as takeout, the Iselin location and catering.</w:t>
      </w:r>
    </w:p>
    <w:p>
      <w:pPr>
        <w:pStyle w:val="ListBullet"/>
        <w:spacing w:after="40" w:line="250" w:lineRule="auto"/>
        <w:ind w:left="259" w:hanging="216"/>
      </w:pPr>
      <w:r>
        <w:rPr>
          <w:rFonts w:ascii="Aptos" w:hAnsi="Aptos"/>
          <w:b w:val="0"/>
          <w:color w:val="000000"/>
          <w:sz w:val="18"/>
        </w:rPr>
        <w:t>Customer actions: calls, direction requests, menu views, online purchases and catering inquiries.</w:t>
      </w:r>
    </w:p>
    <w:p>
      <w:pPr>
        <w:pStyle w:val="ListBullet"/>
        <w:spacing w:after="40" w:line="250" w:lineRule="auto"/>
        <w:ind w:left="259" w:hanging="216"/>
      </w:pPr>
      <w:r>
        <w:rPr>
          <w:rFonts w:ascii="Aptos" w:hAnsi="Aptos"/>
          <w:b w:val="0"/>
          <w:color w:val="000000"/>
          <w:sz w:val="18"/>
        </w:rPr>
        <w:t>The work completed during the period and the next priorities.</w:t>
      </w:r>
    </w:p>
    <w:p>
      <w:pPr>
        <w:spacing w:before="180" w:after="80"/>
      </w:pPr>
      <w:r>
        <w:rPr>
          <w:rFonts w:ascii="Aptos" w:hAnsi="Aptos"/>
          <w:b/>
          <w:color w:val="000000"/>
          <w:sz w:val="26"/>
        </w:rPr>
        <w:t>The focus from here</w:t>
      </w:r>
    </w:p>
    <w:p>
      <w:pPr>
        <w:spacing w:after="0" w:line="259" w:lineRule="auto"/>
      </w:pPr>
      <w:r>
        <w:rPr>
          <w:rFonts w:ascii="Aptos" w:hAnsi="Aptos"/>
          <w:b w:val="0"/>
          <w:color w:val="2F3A42"/>
          <w:sz w:val="20"/>
        </w:rPr>
        <w:t>The groundwork is now in place. Our next step is to build visibility steadily, keep the online information current, and use real customer activity to guide each monthly update.</w:t>
      </w:r>
    </w:p>
    <w:sectPr w:rsidR="00FC693F" w:rsidRPr="0006063C" w:rsidSect="00034616">
      <w:headerReference w:type="default" r:id="rId9"/>
      <w:footerReference w:type="default" r:id="rId10"/>
      <w:pgSz w:w="12240" w:h="15840"/>
      <w:pgMar w:top="806" w:right="979" w:bottom="778"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ptos" w:hAnsi="Aptos"/>
        <w:b w:val="0"/>
        <w:color w:val="6B7280"/>
        <w:sz w:val="14"/>
      </w:rPr>
      <w:t>Quality Sweets  |  First Month Progress Report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b/>
        <w:color w:val="6B7280"/>
        <w:sz w:val="15"/>
      </w:rPr>
      <w:t>QUALITY SWEETS  |  FIRST MONTH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